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A94E" w14:textId="7C2C2F23" w:rsidR="00AF6396" w:rsidRPr="00BF0D0E" w:rsidRDefault="00AF6396" w:rsidP="00AF6396">
      <w:pPr>
        <w:pStyle w:val="Nadpis1"/>
        <w:numPr>
          <w:ilvl w:val="0"/>
          <w:numId w:val="0"/>
        </w:numPr>
        <w:spacing w:after="480"/>
        <w:ind w:left="431"/>
      </w:pPr>
      <w:bookmarkStart w:id="0" w:name="_Toc450131548"/>
      <w:r w:rsidRPr="00BF0D0E">
        <w:t>Příloha 1</w:t>
      </w:r>
      <w:r w:rsidR="000909EF">
        <w:t xml:space="preserve"> SMLOUVY</w:t>
      </w:r>
      <w:r w:rsidRPr="00BF0D0E">
        <w:t xml:space="preserve"> – Definice pojmů</w:t>
      </w:r>
      <w:bookmarkEnd w:id="0"/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740"/>
        <w:gridCol w:w="6322"/>
      </w:tblGrid>
      <w:tr w:rsidR="00AF6396" w:rsidRPr="00CD61FC" w14:paraId="2416DF47" w14:textId="77777777" w:rsidTr="006E201D">
        <w:trPr>
          <w:trHeight w:val="112"/>
        </w:trPr>
        <w:tc>
          <w:tcPr>
            <w:tcW w:w="1512" w:type="pct"/>
            <w:shd w:val="clear" w:color="auto" w:fill="BFBFBF" w:themeFill="background1" w:themeFillShade="BF"/>
          </w:tcPr>
          <w:p w14:paraId="1DE20043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center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>Pojem</w:t>
            </w:r>
          </w:p>
        </w:tc>
        <w:tc>
          <w:tcPr>
            <w:tcW w:w="3488" w:type="pct"/>
          </w:tcPr>
          <w:p w14:paraId="0230C58A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center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>Definice</w:t>
            </w:r>
          </w:p>
        </w:tc>
      </w:tr>
      <w:tr w:rsidR="00AF6396" w:rsidRPr="00CD61FC" w14:paraId="6F477CA1" w14:textId="77777777" w:rsidTr="006E201D"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1C807DB7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Autobusové linky </w:t>
            </w:r>
          </w:p>
        </w:tc>
        <w:tc>
          <w:tcPr>
            <w:tcW w:w="3488" w:type="pct"/>
          </w:tcPr>
          <w:p w14:paraId="08639493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znamenají souhrn dopravních spojení na trase dopravní cesty určené výchozí a cílovou zastávkou a ostatními zastávkami, na kterých je poskytována Služba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1A3417EA" w14:textId="77777777" w:rsidTr="006E201D"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2485134B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Bankovní karta</w:t>
            </w:r>
          </w:p>
        </w:tc>
        <w:tc>
          <w:tcPr>
            <w:tcW w:w="3488" w:type="pct"/>
          </w:tcPr>
          <w:p w14:paraId="2041DFD1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t>znamená platební bankovní kartu asociací MasterCard nebo VISA vybavenou bezkontaktním čipem.</w:t>
            </w:r>
          </w:p>
        </w:tc>
      </w:tr>
      <w:tr w:rsidR="00AF6396" w:rsidRPr="00CD61FC" w14:paraId="6B5BB795" w14:textId="77777777" w:rsidTr="006E201D">
        <w:trPr>
          <w:trHeight w:val="119"/>
        </w:trPr>
        <w:tc>
          <w:tcPr>
            <w:tcW w:w="1512" w:type="pct"/>
            <w:shd w:val="clear" w:color="auto" w:fill="BFBFBF" w:themeFill="background1" w:themeFillShade="BF"/>
          </w:tcPr>
          <w:p w14:paraId="5B862E51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Bankovní záruka </w:t>
            </w:r>
          </w:p>
        </w:tc>
        <w:tc>
          <w:tcPr>
            <w:tcW w:w="3488" w:type="pct"/>
          </w:tcPr>
          <w:p w14:paraId="45ABD01D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má význam uvedený v </w:t>
            </w:r>
            <w:r>
              <w:rPr>
                <w:rFonts w:ascii="Calibri" w:hAnsi="Calibri" w:cs="Palatino Linotype"/>
                <w:color w:val="000000"/>
              </w:rPr>
              <w:t>čl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. </w:t>
            </w:r>
            <w:r>
              <w:rPr>
                <w:rFonts w:ascii="Calibri" w:hAnsi="Calibri" w:cs="Palatino Linotype"/>
                <w:color w:val="000000"/>
              </w:rPr>
              <w:t>8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032F7BFE" w14:textId="77777777" w:rsidTr="006E201D">
        <w:trPr>
          <w:trHeight w:val="119"/>
        </w:trPr>
        <w:tc>
          <w:tcPr>
            <w:tcW w:w="1512" w:type="pct"/>
            <w:shd w:val="clear" w:color="auto" w:fill="BFBFBF" w:themeFill="background1" w:themeFillShade="BF"/>
          </w:tcPr>
          <w:p w14:paraId="4F864DB8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 xml:space="preserve">Celkové vyúčtování </w:t>
            </w:r>
          </w:p>
        </w:tc>
        <w:tc>
          <w:tcPr>
            <w:tcW w:w="3488" w:type="pct"/>
          </w:tcPr>
          <w:p w14:paraId="6E6065D5" w14:textId="15F44FE3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 xml:space="preserve">znamená celkové roční vyúčtování Kompenzace za každý jeden kalendářní rok trvání </w:t>
            </w:r>
            <w:r w:rsidR="00D62813">
              <w:rPr>
                <w:rFonts w:ascii="Calibri" w:hAnsi="Calibri" w:cs="Palatino Linotype"/>
                <w:color w:val="000000"/>
              </w:rPr>
              <w:t>S</w:t>
            </w:r>
            <w:r>
              <w:rPr>
                <w:rFonts w:ascii="Calibri" w:hAnsi="Calibri" w:cs="Palatino Linotype"/>
                <w:color w:val="000000"/>
              </w:rPr>
              <w:t xml:space="preserve">mlouvy provedené podle přílohy 7 Smlouvy. </w:t>
            </w:r>
          </w:p>
        </w:tc>
      </w:tr>
      <w:tr w:rsidR="002D7B07" w:rsidRPr="00CD61FC" w14:paraId="33AD4675" w14:textId="77777777" w:rsidTr="006E201D">
        <w:trPr>
          <w:trHeight w:val="119"/>
        </w:trPr>
        <w:tc>
          <w:tcPr>
            <w:tcW w:w="1512" w:type="pct"/>
            <w:shd w:val="clear" w:color="auto" w:fill="BFBFBF" w:themeFill="background1" w:themeFillShade="BF"/>
          </w:tcPr>
          <w:p w14:paraId="006F4DC5" w14:textId="3753683E" w:rsidR="002D7B07" w:rsidRDefault="002D7B07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Doba platnosti</w:t>
            </w:r>
          </w:p>
        </w:tc>
        <w:tc>
          <w:tcPr>
            <w:tcW w:w="3488" w:type="pct"/>
          </w:tcPr>
          <w:p w14:paraId="49072F45" w14:textId="0DEF3499" w:rsidR="002D7B07" w:rsidRDefault="002D7B07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znamená požadovanou dobu platnosti a účinnosti Bankovní záruky dle čl. 8 Smlouvy</w:t>
            </w:r>
          </w:p>
        </w:tc>
      </w:tr>
      <w:tr w:rsidR="00AF6396" w:rsidRPr="00CD61FC" w14:paraId="08928150" w14:textId="77777777" w:rsidTr="006E201D"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4FB46A0F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Dopravce </w:t>
            </w:r>
          </w:p>
        </w:tc>
        <w:tc>
          <w:tcPr>
            <w:tcW w:w="3488" w:type="pct"/>
          </w:tcPr>
          <w:p w14:paraId="5755906D" w14:textId="4BE5CACD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smluvní stranu Smlouvy uvedenou v její úvodní části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105D0E03" w14:textId="77777777" w:rsidTr="006E201D"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77779A20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Dopravní úřad </w:t>
            </w:r>
          </w:p>
        </w:tc>
        <w:tc>
          <w:tcPr>
            <w:tcW w:w="3488" w:type="pct"/>
          </w:tcPr>
          <w:p w14:paraId="4260A314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znamená příslušný </w:t>
            </w:r>
            <w:r>
              <w:rPr>
                <w:rFonts w:ascii="Calibri" w:hAnsi="Calibri" w:cs="Palatino Linotype"/>
                <w:color w:val="000000"/>
              </w:rPr>
              <w:t>obecní úřad obce s rozšířenou působností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vykonávající v přenesené působnosti funkce dopravního úřadu dle Zákona o silniční dopravě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0A7BDE74" w14:textId="77777777" w:rsidTr="006E201D"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5CEF311A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Jednotková cena na 1 Vozokm</w:t>
            </w:r>
          </w:p>
        </w:tc>
        <w:tc>
          <w:tcPr>
            <w:tcW w:w="3488" w:type="pct"/>
          </w:tcPr>
          <w:p w14:paraId="5F3B8C22" w14:textId="20D2C5F2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má význam uvedený v 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>
              <w:rPr>
                <w:rFonts w:ascii="Calibri" w:hAnsi="Calibri" w:cs="Palatino Linotype"/>
                <w:color w:val="000000"/>
              </w:rPr>
              <w:t xml:space="preserve"> 4.5 Smlouvy. </w:t>
            </w:r>
          </w:p>
        </w:tc>
      </w:tr>
      <w:tr w:rsidR="00AF6396" w:rsidRPr="00CD61FC" w14:paraId="4DC1868F" w14:textId="77777777" w:rsidTr="006E201D">
        <w:trPr>
          <w:trHeight w:val="113"/>
        </w:trPr>
        <w:tc>
          <w:tcPr>
            <w:tcW w:w="1512" w:type="pct"/>
            <w:shd w:val="clear" w:color="auto" w:fill="BFBFBF" w:themeFill="background1" w:themeFillShade="BF"/>
          </w:tcPr>
          <w:p w14:paraId="4D11C369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J</w:t>
            </w: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ízdní řády </w:t>
            </w:r>
          </w:p>
        </w:tc>
        <w:tc>
          <w:tcPr>
            <w:tcW w:w="3488" w:type="pct"/>
          </w:tcPr>
          <w:p w14:paraId="3D82609F" w14:textId="405D5234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znamenají určení časových údajů pro jízdu Používaných Vozidel Dopravce na trase dopravní cesty pro všechny Spoje Autobusových linek v Lokalitě, blíže specifikované v příloze č. </w:t>
            </w:r>
            <w:r>
              <w:rPr>
                <w:rFonts w:ascii="Calibri" w:hAnsi="Calibri" w:cs="Palatino Linotype"/>
                <w:color w:val="000000"/>
              </w:rPr>
              <w:t>6</w:t>
            </w:r>
            <w:r w:rsidR="00CC2993">
              <w:rPr>
                <w:rFonts w:ascii="Calibri" w:hAnsi="Calibri" w:cs="Palatino Linotype"/>
                <w:color w:val="000000"/>
              </w:rPr>
              <w:t xml:space="preserve">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497DDC8C" w14:textId="77777777" w:rsidTr="006E201D">
        <w:trPr>
          <w:trHeight w:val="113"/>
        </w:trPr>
        <w:tc>
          <w:tcPr>
            <w:tcW w:w="1512" w:type="pct"/>
            <w:shd w:val="clear" w:color="auto" w:fill="BFBFBF" w:themeFill="background1" w:themeFillShade="BF"/>
          </w:tcPr>
          <w:p w14:paraId="1453EAC7" w14:textId="77777777" w:rsidR="00AF6396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Klasický autobus</w:t>
            </w:r>
          </w:p>
        </w:tc>
        <w:tc>
          <w:tcPr>
            <w:tcW w:w="3488" w:type="pct"/>
          </w:tcPr>
          <w:p w14:paraId="72628B10" w14:textId="1EA23D4D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znamená městský autobus kategorie M3, třídy „I“ blíže specifikovaný v 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>
              <w:rPr>
                <w:rFonts w:ascii="Calibri" w:hAnsi="Calibri" w:cs="Palatino Linotype"/>
                <w:color w:val="000000"/>
              </w:rPr>
              <w:t xml:space="preserve"> 1.4 Technických a provozních požadavků</w:t>
            </w:r>
          </w:p>
        </w:tc>
      </w:tr>
      <w:tr w:rsidR="00AF6396" w:rsidRPr="00CD61FC" w14:paraId="7AB741B2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7C82CAE3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Kompenzace </w:t>
            </w:r>
          </w:p>
        </w:tc>
        <w:tc>
          <w:tcPr>
            <w:tcW w:w="3488" w:type="pct"/>
          </w:tcPr>
          <w:p w14:paraId="40AE531C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znamená měsíční plnění poskytované Dopravci za poskytovanou Službu dle čl. </w:t>
            </w:r>
            <w:r>
              <w:rPr>
                <w:rFonts w:ascii="Calibri" w:hAnsi="Calibri" w:cs="Palatino Linotype"/>
                <w:color w:val="000000"/>
              </w:rPr>
              <w:t>4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1187BA25" w14:textId="77777777" w:rsidTr="006E201D">
        <w:tblPrEx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1512" w:type="pct"/>
            <w:shd w:val="clear" w:color="auto" w:fill="BFBFBF" w:themeFill="background1" w:themeFillShade="BF"/>
          </w:tcPr>
          <w:p w14:paraId="63603269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Lokalita</w:t>
            </w:r>
          </w:p>
        </w:tc>
        <w:tc>
          <w:tcPr>
            <w:tcW w:w="3488" w:type="pct"/>
          </w:tcPr>
          <w:p w14:paraId="7C7AE3F2" w14:textId="6619DC48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má význam uvedený v 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>
              <w:rPr>
                <w:rFonts w:ascii="Calibri" w:hAnsi="Calibri" w:cs="Palatino Linotype"/>
                <w:color w:val="000000"/>
              </w:rPr>
              <w:t xml:space="preserve"> 1.1 Smlouvy. </w:t>
            </w:r>
          </w:p>
        </w:tc>
      </w:tr>
      <w:tr w:rsidR="00AF6396" w:rsidRPr="00CD61FC" w14:paraId="0B6A1456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1EFCE167" w14:textId="2838610F" w:rsidR="00AF6396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 xml:space="preserve">Měsíční výkaz výkonů a </w:t>
            </w:r>
            <w:r w:rsidR="00560727">
              <w:rPr>
                <w:rFonts w:ascii="Calibri" w:hAnsi="Calibri" w:cs="Palatino Linotype"/>
                <w:b/>
                <w:bCs/>
                <w:color w:val="000000"/>
              </w:rPr>
              <w:t>Tržeb</w:t>
            </w:r>
          </w:p>
        </w:tc>
        <w:tc>
          <w:tcPr>
            <w:tcW w:w="3488" w:type="pct"/>
          </w:tcPr>
          <w:p w14:paraId="665FFC97" w14:textId="418F6F00" w:rsidR="00AF6396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 xml:space="preserve">znamená měsíční výkaz vyplněný v souladu s přílohou </w:t>
            </w:r>
            <w:r w:rsidR="00560727">
              <w:rPr>
                <w:rFonts w:ascii="Calibri" w:hAnsi="Calibri" w:cs="Palatino Linotype"/>
                <w:color w:val="000000"/>
              </w:rPr>
              <w:t xml:space="preserve">5 </w:t>
            </w:r>
            <w:r>
              <w:rPr>
                <w:rFonts w:ascii="Calibri" w:hAnsi="Calibri" w:cs="Palatino Linotype"/>
                <w:color w:val="000000"/>
              </w:rPr>
              <w:t xml:space="preserve">Smlouvy. </w:t>
            </w:r>
          </w:p>
        </w:tc>
      </w:tr>
      <w:tr w:rsidR="00AF6396" w:rsidRPr="00CD61FC" w14:paraId="336BA5D6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3031611F" w14:textId="77777777" w:rsidR="00AF6396" w:rsidRDefault="00AF6396" w:rsidP="006E201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Mimořádné překážky</w:t>
            </w:r>
          </w:p>
        </w:tc>
        <w:tc>
          <w:tcPr>
            <w:tcW w:w="3488" w:type="pct"/>
          </w:tcPr>
          <w:p w14:paraId="7167BA86" w14:textId="64D05390" w:rsidR="00AF6396" w:rsidRDefault="00AF6396" w:rsidP="006E201D">
            <w:pPr>
              <w:autoSpaceDE w:val="0"/>
              <w:autoSpaceDN w:val="0"/>
              <w:adjustRightInd w:val="0"/>
              <w:jc w:val="both"/>
            </w:pPr>
            <w:r>
              <w:t xml:space="preserve">mají význam uvedený v čl. 10 Smlouvy. </w:t>
            </w:r>
          </w:p>
        </w:tc>
      </w:tr>
      <w:tr w:rsidR="00AF6396" w:rsidRPr="00CD61FC" w14:paraId="56081511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43C5BFA9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 w:rsidRPr="001E2290">
              <w:rPr>
                <w:b/>
              </w:rPr>
              <w:t>Nabídka</w:t>
            </w:r>
          </w:p>
        </w:tc>
        <w:tc>
          <w:tcPr>
            <w:tcW w:w="3488" w:type="pct"/>
          </w:tcPr>
          <w:p w14:paraId="145683B9" w14:textId="78E59362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t xml:space="preserve">znamená nabídku podanou Dopravcem jakožto </w:t>
            </w:r>
            <w:r w:rsidR="00451B40">
              <w:t>účastníkem Zadávacího</w:t>
            </w:r>
            <w:r w:rsidR="00C85D64">
              <w:t xml:space="preserve"> </w:t>
            </w:r>
            <w:r>
              <w:t xml:space="preserve">řízení. </w:t>
            </w:r>
          </w:p>
        </w:tc>
      </w:tr>
      <w:tr w:rsidR="00DF1486" w:rsidRPr="00CD61FC" w14:paraId="4DE4090E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78CCAAE6" w14:textId="7370A889" w:rsidR="00DF1486" w:rsidRPr="001E2290" w:rsidRDefault="00DF1486" w:rsidP="006E201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Nařízení o stanovení minimálních hodnot a ukazatelů standardů kvality a bezpečnosti</w:t>
            </w:r>
          </w:p>
        </w:tc>
        <w:tc>
          <w:tcPr>
            <w:tcW w:w="3488" w:type="pct"/>
          </w:tcPr>
          <w:p w14:paraId="5EC5308A" w14:textId="7940D439" w:rsidR="00DF1486" w:rsidRDefault="00DF1486" w:rsidP="006E201D">
            <w:pPr>
              <w:autoSpaceDE w:val="0"/>
              <w:autoSpaceDN w:val="0"/>
              <w:adjustRightInd w:val="0"/>
              <w:jc w:val="both"/>
            </w:pPr>
            <w:r>
              <w:t xml:space="preserve">znamená nařízení vlády č. 63/2011 Sb., </w:t>
            </w:r>
            <w:bookmarkStart w:id="1" w:name="_Hlk134523485"/>
            <w:r w:rsidRPr="00DF1486">
              <w:t xml:space="preserve">o stanovení minimálních hodnot a ukazatelů standardů kvality a bezpečnosti </w:t>
            </w:r>
            <w:bookmarkEnd w:id="1"/>
            <w:r w:rsidRPr="00DF1486">
              <w:t>a o způsobu jejich prokazování v souvislosti s poskytováním veřejných služeb v přepravě cestujících</w:t>
            </w:r>
            <w:r>
              <w:t>, ve znění pozdějších předpisů</w:t>
            </w:r>
          </w:p>
        </w:tc>
      </w:tr>
      <w:tr w:rsidR="00DF1486" w:rsidRPr="00CD61FC" w14:paraId="50220DDE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0BBB24A7" w14:textId="5A186A51" w:rsidR="00DF1486" w:rsidRDefault="00DF1486" w:rsidP="006E201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Nové vozidlo</w:t>
            </w:r>
          </w:p>
        </w:tc>
        <w:tc>
          <w:tcPr>
            <w:tcW w:w="3488" w:type="pct"/>
          </w:tcPr>
          <w:p w14:paraId="2579E3BA" w14:textId="21E72D63" w:rsidR="00DF1486" w:rsidRDefault="00DF1486" w:rsidP="006E201D">
            <w:pPr>
              <w:autoSpaceDE w:val="0"/>
              <w:autoSpaceDN w:val="0"/>
              <w:adjustRightInd w:val="0"/>
              <w:jc w:val="both"/>
            </w:pPr>
            <w:r>
              <w:t xml:space="preserve">znamená v souladu s Nařízením </w:t>
            </w:r>
            <w:r w:rsidRPr="00DF1486">
              <w:t>o stanovení minimálních hodnot a ukazatelů standardů kvality a bezpečnosti</w:t>
            </w:r>
            <w:r>
              <w:t xml:space="preserve"> vozidlo </w:t>
            </w:r>
            <w:r>
              <w:rPr>
                <w:rStyle w:val="upd"/>
              </w:rPr>
              <w:t>pořízené za účelem plnění Smlouvy, které dosud nebylo žádným způsobem provozováno v České republice ani v jiném státě ani nebylo používáno ke zkušebním či předváděcím účelům</w:t>
            </w:r>
          </w:p>
        </w:tc>
      </w:tr>
      <w:tr w:rsidR="00AF6396" w:rsidRPr="00CD61FC" w14:paraId="019BB510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0F1D043F" w14:textId="77777777" w:rsidR="00AF6396" w:rsidRPr="001E2290" w:rsidRDefault="00AF6396" w:rsidP="006E201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Občanský zákoník</w:t>
            </w:r>
          </w:p>
        </w:tc>
        <w:tc>
          <w:tcPr>
            <w:tcW w:w="3488" w:type="pct"/>
          </w:tcPr>
          <w:p w14:paraId="67389AE8" w14:textId="77777777" w:rsidR="00AF6396" w:rsidRPr="001E2290" w:rsidRDefault="00AF6396" w:rsidP="006E201D">
            <w:pPr>
              <w:autoSpaceDE w:val="0"/>
              <w:autoSpaceDN w:val="0"/>
              <w:adjustRightInd w:val="0"/>
              <w:jc w:val="both"/>
            </w:pPr>
            <w:r>
              <w:t xml:space="preserve">znamená zákon č. 89/2012 Sb., občanský zákoník, ve znění pozdějších předpisů. </w:t>
            </w:r>
          </w:p>
        </w:tc>
      </w:tr>
      <w:tr w:rsidR="00AF6396" w:rsidRPr="00CD61FC" w14:paraId="7E52C3A1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4D7DE72D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Období </w:t>
            </w:r>
          </w:p>
        </w:tc>
        <w:tc>
          <w:tcPr>
            <w:tcW w:w="3488" w:type="pct"/>
          </w:tcPr>
          <w:p w14:paraId="721A844F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dobu, po kterou je Služba poskytována, blíže specifikovan</w:t>
            </w:r>
            <w:r>
              <w:rPr>
                <w:rFonts w:ascii="Calibri" w:hAnsi="Calibri" w:cs="Palatino Linotype"/>
                <w:color w:val="000000"/>
              </w:rPr>
              <w:t>á v č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l. </w:t>
            </w:r>
            <w:r>
              <w:rPr>
                <w:rFonts w:ascii="Calibri" w:hAnsi="Calibri" w:cs="Palatino Linotype"/>
                <w:color w:val="000000"/>
              </w:rPr>
              <w:t>3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2959FA19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4827FE49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Oběhy vozidel</w:t>
            </w:r>
          </w:p>
        </w:tc>
        <w:tc>
          <w:tcPr>
            <w:tcW w:w="3488" w:type="pct"/>
          </w:tcPr>
          <w:p w14:paraId="415307AB" w14:textId="77777777" w:rsidR="00AF6396" w:rsidRPr="003A7D7E" w:rsidRDefault="00AF6396" w:rsidP="006E201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A7D7E">
              <w:rPr>
                <w:rFonts w:asciiTheme="minorHAnsi" w:hAnsiTheme="minorHAnsi"/>
                <w:sz w:val="22"/>
                <w:szCs w:val="22"/>
              </w:rPr>
              <w:t xml:space="preserve">znamená určení Používaných vozidel Dopravcem dle Jízdních řádů, tj. včetně určení počtu Používaných vozidel, jejich rozdělení na </w:t>
            </w:r>
            <w:r w:rsidRPr="003A7D7E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jednotlivé druhy paliva, určení jednotlivých typů vozidel pro jednotlivé Spoje. </w:t>
            </w:r>
          </w:p>
        </w:tc>
      </w:tr>
      <w:tr w:rsidR="00AF6396" w:rsidRPr="00CD61FC" w14:paraId="39581701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7BDC55CA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lastRenderedPageBreak/>
              <w:t xml:space="preserve">Objednatel </w:t>
            </w:r>
          </w:p>
        </w:tc>
        <w:tc>
          <w:tcPr>
            <w:tcW w:w="3488" w:type="pct"/>
          </w:tcPr>
          <w:p w14:paraId="4ED415E0" w14:textId="7D464FB2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smluvní stranu Smlouvy uvedenou v její úvodní části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3EB28DE0" w14:textId="77777777" w:rsidTr="006E201D">
        <w:tblPrEx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1512" w:type="pct"/>
            <w:shd w:val="clear" w:color="auto" w:fill="BFBFBF" w:themeFill="background1" w:themeFillShade="BF"/>
          </w:tcPr>
          <w:p w14:paraId="03775909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Objížďka </w:t>
            </w:r>
          </w:p>
        </w:tc>
        <w:tc>
          <w:tcPr>
            <w:tcW w:w="3488" w:type="pct"/>
          </w:tcPr>
          <w:p w14:paraId="149F4F51" w14:textId="5B4794B6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má význam uvedený v 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  <w:r>
              <w:rPr>
                <w:rFonts w:ascii="Calibri" w:hAnsi="Calibri" w:cs="Palatino Linotype"/>
                <w:color w:val="000000"/>
              </w:rPr>
              <w:t>2.8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3797FFDC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62F98DBC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Používané vozidlo </w:t>
            </w:r>
          </w:p>
        </w:tc>
        <w:tc>
          <w:tcPr>
            <w:tcW w:w="3488" w:type="pct"/>
          </w:tcPr>
          <w:p w14:paraId="1ABF4A74" w14:textId="14D738FD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jakékoliv vozidlo, které Dopravce používá k poskytování Služby dle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0F9CF7FE" w14:textId="77777777" w:rsidTr="006E201D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512" w:type="pct"/>
            <w:shd w:val="clear" w:color="auto" w:fill="BFBFBF" w:themeFill="background1" w:themeFillShade="BF"/>
          </w:tcPr>
          <w:p w14:paraId="5D3F6BD8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Skutečný rozsah plnění Služby</w:t>
            </w:r>
          </w:p>
        </w:tc>
        <w:tc>
          <w:tcPr>
            <w:tcW w:w="3488" w:type="pct"/>
          </w:tcPr>
          <w:p w14:paraId="65191DE6" w14:textId="5FC43DEC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má význam uvedený v 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>
              <w:rPr>
                <w:rFonts w:ascii="Calibri" w:hAnsi="Calibri" w:cs="Palatino Linotype"/>
                <w:color w:val="000000"/>
              </w:rPr>
              <w:t xml:space="preserve"> 4.3 Smlouvy. </w:t>
            </w:r>
          </w:p>
        </w:tc>
      </w:tr>
      <w:tr w:rsidR="00AF6396" w:rsidRPr="00CD61FC" w14:paraId="02DB27AB" w14:textId="77777777" w:rsidTr="006E201D">
        <w:tblPrEx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1512" w:type="pct"/>
            <w:shd w:val="clear" w:color="auto" w:fill="BFBFBF" w:themeFill="background1" w:themeFillShade="BF"/>
          </w:tcPr>
          <w:p w14:paraId="13E29348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Služba </w:t>
            </w:r>
          </w:p>
        </w:tc>
        <w:tc>
          <w:tcPr>
            <w:tcW w:w="3488" w:type="pct"/>
          </w:tcPr>
          <w:p w14:paraId="7638F9FC" w14:textId="140018F9" w:rsidR="00AF6396" w:rsidRPr="00CD61FC" w:rsidRDefault="008F7B67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 xml:space="preserve">znamená </w:t>
            </w:r>
            <w:r w:rsidRPr="000733FD">
              <w:t xml:space="preserve">poskytování veřejné služby v přepravě cestujících spočívající v provozování veřejné linkové osobní dopravy </w:t>
            </w:r>
            <w:r>
              <w:t>za účelem</w:t>
            </w:r>
            <w:r w:rsidRPr="000733FD">
              <w:t xml:space="preserve"> zabezpečení dopravní obslužnosti v územním obvod</w:t>
            </w:r>
            <w:r>
              <w:t>u</w:t>
            </w:r>
            <w:r w:rsidRPr="000733FD">
              <w:t xml:space="preserve"> města Třebíče </w:t>
            </w:r>
            <w:r>
              <w:t xml:space="preserve">a </w:t>
            </w:r>
            <w:r w:rsidRPr="007E6907">
              <w:t xml:space="preserve">územních obvodech </w:t>
            </w:r>
            <w:r>
              <w:t>okolních</w:t>
            </w:r>
            <w:r w:rsidRPr="007E6907">
              <w:t xml:space="preserve"> obcí Nová Ves u Třebíče, Přibyslavice, Kožichovice a Střítež u Třebíče </w:t>
            </w:r>
            <w:r w:rsidRPr="000733FD">
              <w:t>linkami městské autobusové dopravy</w:t>
            </w:r>
            <w:r w:rsidR="00AF6396">
              <w:rPr>
                <w:rFonts w:ascii="Calibri" w:hAnsi="Calibri" w:cs="Palatino Linotype"/>
                <w:color w:val="000000"/>
              </w:rPr>
              <w:t>.</w:t>
            </w:r>
            <w:r w:rsidR="00AF6396"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6D5A6A03" w14:textId="77777777" w:rsidTr="006E201D">
        <w:tblPrEx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1512" w:type="pct"/>
            <w:shd w:val="clear" w:color="auto" w:fill="BFBFBF" w:themeFill="background1" w:themeFillShade="BF"/>
          </w:tcPr>
          <w:p w14:paraId="2C8D8CFC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Smlouva </w:t>
            </w:r>
          </w:p>
        </w:tc>
        <w:tc>
          <w:tcPr>
            <w:tcW w:w="3488" w:type="pct"/>
          </w:tcPr>
          <w:p w14:paraId="4D666C6D" w14:textId="445C592C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znamená </w:t>
            </w:r>
            <w:r w:rsidR="008F7B67">
              <w:rPr>
                <w:rFonts w:ascii="Calibri" w:hAnsi="Calibri" w:cs="Palatino Linotype"/>
                <w:color w:val="000000"/>
              </w:rPr>
              <w:t>s</w:t>
            </w:r>
            <w:r w:rsidR="008F7B67" w:rsidRPr="007A49BB">
              <w:rPr>
                <w:rFonts w:cstheme="minorHAnsi"/>
              </w:rPr>
              <w:t xml:space="preserve">mlouvu o </w:t>
            </w:r>
            <w:r w:rsidR="008F7B67">
              <w:rPr>
                <w:rFonts w:cstheme="minorHAnsi"/>
              </w:rPr>
              <w:t xml:space="preserve">poskytování </w:t>
            </w:r>
            <w:r w:rsidR="008F7B67" w:rsidRPr="007A49BB">
              <w:rPr>
                <w:rFonts w:cstheme="minorHAnsi"/>
              </w:rPr>
              <w:t>veřejných služ</w:t>
            </w:r>
            <w:r w:rsidR="008F7B67">
              <w:rPr>
                <w:rFonts w:cstheme="minorHAnsi"/>
              </w:rPr>
              <w:t>e</w:t>
            </w:r>
            <w:r w:rsidR="008F7B67" w:rsidRPr="007A49BB">
              <w:rPr>
                <w:rFonts w:cstheme="minorHAnsi"/>
              </w:rPr>
              <w:t>b v přepravě cestujících veřejn</w:t>
            </w:r>
            <w:r w:rsidR="008F7B67">
              <w:rPr>
                <w:rFonts w:cstheme="minorHAnsi"/>
              </w:rPr>
              <w:t>ou</w:t>
            </w:r>
            <w:r w:rsidR="008F7B67" w:rsidRPr="007A49BB">
              <w:rPr>
                <w:rFonts w:cstheme="minorHAnsi"/>
              </w:rPr>
              <w:t xml:space="preserve"> linkov</w:t>
            </w:r>
            <w:r w:rsidR="008F7B67">
              <w:rPr>
                <w:rFonts w:cstheme="minorHAnsi"/>
              </w:rPr>
              <w:t>ou autobusovou dopravou k zajištění dopravní obslužnosti města Třebíč a vybraných okolních obcí</w:t>
            </w:r>
            <w:r w:rsidR="008F7B67" w:rsidRPr="007A49BB" w:rsidDel="00AD27B6">
              <w:rPr>
                <w:rFonts w:cstheme="minorHAnsi"/>
              </w:rPr>
              <w:t xml:space="preserve"> 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uzavřenou mezi Dopravcem a </w:t>
            </w:r>
            <w:r>
              <w:rPr>
                <w:rFonts w:ascii="Calibri" w:hAnsi="Calibri" w:cs="Palatino Linotype"/>
                <w:color w:val="000000"/>
              </w:rPr>
              <w:t>O</w:t>
            </w:r>
            <w:r w:rsidRPr="00CD61FC">
              <w:rPr>
                <w:rFonts w:ascii="Calibri" w:hAnsi="Calibri" w:cs="Palatino Linotype"/>
                <w:color w:val="000000"/>
              </w:rPr>
              <w:t>bjednatelem, včetně všech jejich příloh a dodatků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2B89C0CF" w14:textId="77777777" w:rsidTr="00DD191E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512" w:type="pct"/>
            <w:shd w:val="clear" w:color="auto" w:fill="BFBFBF" w:themeFill="background1" w:themeFillShade="BF"/>
          </w:tcPr>
          <w:p w14:paraId="40A1DBD1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Smluvní přepravní podmínky </w:t>
            </w:r>
          </w:p>
        </w:tc>
        <w:tc>
          <w:tcPr>
            <w:tcW w:w="3488" w:type="pct"/>
            <w:shd w:val="clear" w:color="auto" w:fill="auto"/>
          </w:tcPr>
          <w:p w14:paraId="1C7ABBF7" w14:textId="522837DC" w:rsidR="00AF6396" w:rsidRPr="00DD191E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DD191E">
              <w:rPr>
                <w:rFonts w:ascii="Calibri" w:hAnsi="Calibri" w:cs="Palatino Linotype"/>
                <w:color w:val="000000"/>
              </w:rPr>
              <w:t xml:space="preserve">znamená dokument stanovující práva a povinnosti Dopravce i cestujících při přepravě </w:t>
            </w:r>
            <w:r w:rsidR="006C64CC" w:rsidRPr="00DD191E">
              <w:rPr>
                <w:rFonts w:ascii="Calibri" w:hAnsi="Calibri" w:cs="Palatino Linotype"/>
                <w:color w:val="000000"/>
              </w:rPr>
              <w:t xml:space="preserve">obsažené v příloze č. </w:t>
            </w:r>
            <w:r w:rsidR="00DD191E">
              <w:rPr>
                <w:rFonts w:ascii="Calibri" w:hAnsi="Calibri" w:cs="Palatino Linotype"/>
                <w:color w:val="000000"/>
              </w:rPr>
              <w:t>4</w:t>
            </w:r>
            <w:r w:rsidR="006C64CC" w:rsidRPr="00DD191E">
              <w:rPr>
                <w:rFonts w:ascii="Calibri" w:hAnsi="Calibri" w:cs="Palatino Linotype"/>
                <w:color w:val="000000"/>
              </w:rPr>
              <w:t xml:space="preserve"> Zadávací dokumentace a následně Smluvní přepravní podmínky, který je v souladu s touto Smlouvou nahradí</w:t>
            </w:r>
            <w:r w:rsidRPr="00DD191E">
              <w:rPr>
                <w:rFonts w:ascii="Calibri" w:hAnsi="Calibri" w:cs="Palatino Linotype"/>
                <w:color w:val="000000"/>
              </w:rPr>
              <w:t xml:space="preserve">. </w:t>
            </w:r>
          </w:p>
        </w:tc>
      </w:tr>
      <w:tr w:rsidR="00AF6396" w:rsidRPr="00CD61FC" w14:paraId="46391A9E" w14:textId="77777777" w:rsidTr="00DD191E">
        <w:tblPrEx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12" w:type="pct"/>
            <w:shd w:val="clear" w:color="auto" w:fill="BFBFBF" w:themeFill="background1" w:themeFillShade="BF"/>
          </w:tcPr>
          <w:p w14:paraId="5EB68303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Smluvní strany </w:t>
            </w:r>
          </w:p>
        </w:tc>
        <w:tc>
          <w:tcPr>
            <w:tcW w:w="3488" w:type="pct"/>
            <w:shd w:val="clear" w:color="auto" w:fill="auto"/>
          </w:tcPr>
          <w:p w14:paraId="1ACD04AD" w14:textId="77777777" w:rsidR="00AF6396" w:rsidRPr="00DD191E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DD191E">
              <w:rPr>
                <w:rFonts w:ascii="Calibri" w:hAnsi="Calibri" w:cs="Palatino Linotype"/>
                <w:color w:val="000000"/>
              </w:rPr>
              <w:t xml:space="preserve">znamenají společně Dopravce a Objednatele. </w:t>
            </w:r>
          </w:p>
        </w:tc>
      </w:tr>
      <w:tr w:rsidR="00AF6396" w:rsidRPr="00CD61FC" w14:paraId="069ECA42" w14:textId="77777777" w:rsidTr="00DD191E">
        <w:tblPrEx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17BEFAF7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Spoje </w:t>
            </w:r>
          </w:p>
        </w:tc>
        <w:tc>
          <w:tcPr>
            <w:tcW w:w="3488" w:type="pct"/>
            <w:shd w:val="clear" w:color="auto" w:fill="auto"/>
          </w:tcPr>
          <w:p w14:paraId="14AE87DC" w14:textId="30888FCC" w:rsidR="00AF6396" w:rsidRPr="00DD191E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DD191E">
              <w:rPr>
                <w:rFonts w:ascii="Calibri" w:hAnsi="Calibri" w:cs="Palatino Linotype"/>
                <w:color w:val="000000"/>
              </w:rPr>
              <w:t>znamenají jednotlivá dopravní spojení v rámci Autobusové linky určená Jízdními řády za podmínek dle Smlouvy</w:t>
            </w:r>
            <w:r w:rsidR="00AF003F" w:rsidRPr="00DD191E">
              <w:rPr>
                <w:rFonts w:ascii="Calibri" w:hAnsi="Calibri" w:cs="Palatino Linotype"/>
                <w:color w:val="000000"/>
              </w:rPr>
              <w:t>. Spoje ke dni uzavření Smlouvy</w:t>
            </w:r>
            <w:r w:rsidRPr="00DD191E">
              <w:rPr>
                <w:rFonts w:ascii="Calibri" w:hAnsi="Calibri" w:cs="Palatino Linotype"/>
                <w:color w:val="000000"/>
              </w:rPr>
              <w:t xml:space="preserve"> tvoří přílohu 6 Smlouvy. </w:t>
            </w:r>
          </w:p>
        </w:tc>
      </w:tr>
      <w:tr w:rsidR="00AF6396" w:rsidRPr="00CD61FC" w14:paraId="7DD78152" w14:textId="77777777" w:rsidTr="00DD191E">
        <w:tblPrEx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1512" w:type="pct"/>
            <w:shd w:val="clear" w:color="auto" w:fill="BFBFBF" w:themeFill="background1" w:themeFillShade="BF"/>
          </w:tcPr>
          <w:p w14:paraId="14C1F675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5. stupeň provozu</w:t>
            </w:r>
          </w:p>
        </w:tc>
        <w:tc>
          <w:tcPr>
            <w:tcW w:w="3488" w:type="pct"/>
            <w:shd w:val="clear" w:color="auto" w:fill="auto"/>
          </w:tcPr>
          <w:p w14:paraId="7018ADFC" w14:textId="77777777" w:rsidR="00AF6396" w:rsidRPr="00DD191E" w:rsidRDefault="00AF6396" w:rsidP="006E201D">
            <w:pPr>
              <w:autoSpaceDE w:val="0"/>
              <w:autoSpaceDN w:val="0"/>
              <w:adjustRightInd w:val="0"/>
              <w:jc w:val="both"/>
            </w:pPr>
            <w:r w:rsidRPr="00DD191E">
              <w:rPr>
                <w:rFonts w:ascii="Calibri" w:hAnsi="Calibri" w:cs="Palatino Linotype"/>
                <w:color w:val="000000"/>
              </w:rPr>
              <w:t xml:space="preserve">znamená </w:t>
            </w:r>
            <w:r w:rsidRPr="00DD191E">
              <w:t>dopravní kolaps, kdy vozidla na komunikacích stojí nebo v kolonách jen velmi pomalu popojíždějí, průměrná rychlost je velmi malá.</w:t>
            </w:r>
          </w:p>
        </w:tc>
      </w:tr>
      <w:tr w:rsidR="00AF6396" w:rsidRPr="00CD61FC" w14:paraId="2747EAE7" w14:textId="77777777" w:rsidTr="00DD191E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1512" w:type="pct"/>
            <w:shd w:val="clear" w:color="auto" w:fill="BFBFBF" w:themeFill="background1" w:themeFillShade="BF"/>
          </w:tcPr>
          <w:p w14:paraId="4F8932D4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Tarif</w:t>
            </w:r>
          </w:p>
        </w:tc>
        <w:tc>
          <w:tcPr>
            <w:tcW w:w="3488" w:type="pct"/>
            <w:shd w:val="clear" w:color="auto" w:fill="auto"/>
          </w:tcPr>
          <w:p w14:paraId="5D6FDB96" w14:textId="0587098C" w:rsidR="00AF6396" w:rsidRPr="00DD191E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DD191E">
              <w:rPr>
                <w:rFonts w:ascii="Calibri" w:hAnsi="Calibri" w:cs="Palatino Linotype"/>
                <w:color w:val="000000"/>
              </w:rPr>
              <w:t xml:space="preserve">znamená tarif obsažený v příloze č. </w:t>
            </w:r>
            <w:r w:rsidR="00DD191E">
              <w:rPr>
                <w:rFonts w:ascii="Calibri" w:hAnsi="Calibri" w:cs="Palatino Linotype"/>
                <w:color w:val="000000"/>
              </w:rPr>
              <w:t>4</w:t>
            </w:r>
            <w:r w:rsidR="00975BE1" w:rsidRPr="00DD191E">
              <w:rPr>
                <w:rFonts w:ascii="Calibri" w:hAnsi="Calibri" w:cs="Palatino Linotype"/>
                <w:color w:val="000000"/>
              </w:rPr>
              <w:t xml:space="preserve"> Zadávací dokumentace</w:t>
            </w:r>
            <w:r w:rsidRPr="00DD191E">
              <w:rPr>
                <w:rFonts w:ascii="Calibri" w:hAnsi="Calibri" w:cs="Palatino Linotype"/>
                <w:color w:val="000000"/>
              </w:rPr>
              <w:t xml:space="preserve"> a následně Tarif, který jej v souladu s touto Smlouvou nahradí.</w:t>
            </w:r>
            <w:r w:rsidRPr="00DD191E">
              <w:rPr>
                <w:rFonts w:ascii="Calibri" w:hAnsi="Calibri" w:cs="Palatino Linotype"/>
              </w:rPr>
              <w:tab/>
            </w:r>
          </w:p>
        </w:tc>
      </w:tr>
      <w:tr w:rsidR="00AF6396" w:rsidRPr="00CD61FC" w14:paraId="4911125C" w14:textId="77777777" w:rsidTr="006E201D">
        <w:tblPrEx>
          <w:tblLook w:val="04A0" w:firstRow="1" w:lastRow="0" w:firstColumn="1" w:lastColumn="0" w:noHBand="0" w:noVBand="1"/>
        </w:tblPrEx>
        <w:trPr>
          <w:trHeight w:val="1477"/>
        </w:trPr>
        <w:tc>
          <w:tcPr>
            <w:tcW w:w="1512" w:type="pct"/>
            <w:shd w:val="clear" w:color="auto" w:fill="BFBFBF" w:themeFill="background1" w:themeFillShade="BF"/>
          </w:tcPr>
          <w:p w14:paraId="0D0B587E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Technické a provozní </w:t>
            </w:r>
            <w:r>
              <w:rPr>
                <w:rFonts w:ascii="Calibri" w:hAnsi="Calibri" w:cs="Palatino Linotype"/>
                <w:b/>
                <w:bCs/>
                <w:color w:val="000000"/>
              </w:rPr>
              <w:t>požadavky</w:t>
            </w: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 </w:t>
            </w:r>
          </w:p>
          <w:p w14:paraId="074E9293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</w:p>
        </w:tc>
        <w:tc>
          <w:tcPr>
            <w:tcW w:w="3488" w:type="pct"/>
          </w:tcPr>
          <w:p w14:paraId="6C59B8BD" w14:textId="0DF6A328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znamená </w:t>
            </w:r>
            <w:r w:rsidRPr="00451B40">
              <w:rPr>
                <w:rFonts w:ascii="Calibri" w:hAnsi="Calibri" w:cs="Palatino Linotype"/>
                <w:color w:val="000000"/>
              </w:rPr>
              <w:t>přílohu 4</w:t>
            </w:r>
            <w:r>
              <w:rPr>
                <w:rFonts w:ascii="Calibri" w:hAnsi="Calibri" w:cs="Palatino Linotype"/>
                <w:color w:val="000000"/>
              </w:rPr>
              <w:t xml:space="preserve"> Smlouvy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stanovující minimální technické a provozní parametry zastávek a označníků, zastávkových jízdních řádů, parametry </w:t>
            </w:r>
            <w:r>
              <w:rPr>
                <w:rFonts w:ascii="Calibri" w:hAnsi="Calibri" w:cs="Palatino Linotype"/>
                <w:color w:val="000000"/>
              </w:rPr>
              <w:t>Vozového parku,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čekacích dob a dispečerského řízení, výluk a omezení dopravy, jízdních dokladů, odbavení cestujících, prodeje jízdních dokladů a informačních center a dopravních výkonů dopravce, které musí Dopravce při plnění povinností dle Smlouvy splnit. </w:t>
            </w:r>
          </w:p>
        </w:tc>
      </w:tr>
      <w:tr w:rsidR="00AF6396" w:rsidRPr="00CD61FC" w14:paraId="26AC479D" w14:textId="77777777" w:rsidTr="006E201D">
        <w:tblPrEx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512" w:type="pct"/>
            <w:shd w:val="clear" w:color="auto" w:fill="BFBFBF" w:themeFill="background1" w:themeFillShade="BF"/>
          </w:tcPr>
          <w:p w14:paraId="2EFA3C3F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Testovací provoz </w:t>
            </w:r>
          </w:p>
        </w:tc>
        <w:tc>
          <w:tcPr>
            <w:tcW w:w="3488" w:type="pct"/>
          </w:tcPr>
          <w:p w14:paraId="50E61B25" w14:textId="38A5DC4F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má význam uvedený v </w:t>
            </w:r>
            <w:r w:rsidR="00451B40">
              <w:rPr>
                <w:rFonts w:ascii="Calibri" w:hAnsi="Calibri" w:cs="Palatino Linotype"/>
                <w:color w:val="000000"/>
              </w:rPr>
              <w:t>odst.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  <w:r>
              <w:rPr>
                <w:rFonts w:ascii="Calibri" w:hAnsi="Calibri" w:cs="Palatino Linotype"/>
                <w:color w:val="000000"/>
              </w:rPr>
              <w:t>6</w:t>
            </w:r>
            <w:r w:rsidRPr="00CD61FC">
              <w:rPr>
                <w:rFonts w:ascii="Calibri" w:hAnsi="Calibri" w:cs="Palatino Linotype"/>
                <w:color w:val="000000"/>
              </w:rPr>
              <w:t>.1 Smlouvy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6AA35551" w14:textId="77777777" w:rsidTr="006E201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512" w:type="pct"/>
            <w:shd w:val="clear" w:color="auto" w:fill="BFBFBF" w:themeFill="background1" w:themeFillShade="BF"/>
          </w:tcPr>
          <w:p w14:paraId="3A441E76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Tržby </w:t>
            </w:r>
          </w:p>
        </w:tc>
        <w:tc>
          <w:tcPr>
            <w:tcW w:w="3488" w:type="pct"/>
          </w:tcPr>
          <w:p w14:paraId="62517932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</w:t>
            </w:r>
            <w:r>
              <w:rPr>
                <w:rFonts w:ascii="Calibri" w:hAnsi="Calibri" w:cs="Palatino Linotype"/>
                <w:color w:val="000000"/>
              </w:rPr>
              <w:t>ají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příjem Dopravce za jízdné dle platného </w:t>
            </w:r>
            <w:r>
              <w:rPr>
                <w:rFonts w:ascii="Calibri" w:hAnsi="Calibri" w:cs="Palatino Linotype"/>
                <w:color w:val="000000"/>
              </w:rPr>
              <w:t>Tarifu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získaný při poskytování Služby na příslušných Spojích</w:t>
            </w:r>
            <w:r>
              <w:rPr>
                <w:rFonts w:ascii="Calibri" w:hAnsi="Calibri" w:cs="Palatino Linotype"/>
                <w:color w:val="000000"/>
              </w:rPr>
              <w:t xml:space="preserve">.  </w:t>
            </w:r>
          </w:p>
        </w:tc>
      </w:tr>
      <w:tr w:rsidR="00047A09" w:rsidRPr="00CD61FC" w14:paraId="336DC372" w14:textId="77777777" w:rsidTr="006E201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512" w:type="pct"/>
            <w:shd w:val="clear" w:color="auto" w:fill="BFBFBF" w:themeFill="background1" w:themeFillShade="BF"/>
          </w:tcPr>
          <w:p w14:paraId="6E7F8BA6" w14:textId="0E18E4B2" w:rsidR="00047A09" w:rsidRPr="00CD61FC" w:rsidRDefault="00047A09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VDV</w:t>
            </w:r>
          </w:p>
        </w:tc>
        <w:tc>
          <w:tcPr>
            <w:tcW w:w="3488" w:type="pct"/>
          </w:tcPr>
          <w:p w14:paraId="2E1D41B0" w14:textId="7EEB7CD7" w:rsidR="00047A09" w:rsidRPr="00CD61FC" w:rsidRDefault="00047A09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znamená integrovaný dopravní systém Veřejná doprava Vysočiny</w:t>
            </w:r>
          </w:p>
        </w:tc>
      </w:tr>
      <w:tr w:rsidR="002D7B07" w:rsidRPr="00CD61FC" w14:paraId="54B16E91" w14:textId="77777777" w:rsidTr="006E201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512" w:type="pct"/>
            <w:shd w:val="clear" w:color="auto" w:fill="BFBFBF" w:themeFill="background1" w:themeFillShade="BF"/>
          </w:tcPr>
          <w:p w14:paraId="1A44DE28" w14:textId="5A01F818" w:rsidR="002D7B07" w:rsidRDefault="002D7B07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Veřejná zakázka</w:t>
            </w:r>
          </w:p>
        </w:tc>
        <w:tc>
          <w:tcPr>
            <w:tcW w:w="3488" w:type="pct"/>
          </w:tcPr>
          <w:p w14:paraId="5F0B6F15" w14:textId="6547FA22" w:rsidR="002D7B07" w:rsidRDefault="002D7B07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 xml:space="preserve">znamená </w:t>
            </w:r>
            <w:r>
              <w:t xml:space="preserve">nadlimitní veřejnou </w:t>
            </w:r>
            <w:r w:rsidRPr="00B04E29">
              <w:t>zakázk</w:t>
            </w:r>
            <w:r>
              <w:t>u</w:t>
            </w:r>
            <w:r w:rsidRPr="00B04E29">
              <w:t xml:space="preserve"> s názvem </w:t>
            </w:r>
            <w:r>
              <w:t>„</w:t>
            </w:r>
            <w:sdt>
              <w:sdtPr>
                <w:id w:val="-1899048256"/>
                <w:placeholder>
                  <w:docPart w:val="94A0B96F647D4BC3911F483B09D3A82F"/>
                </w:placeholder>
                <w:text/>
              </w:sdtPr>
              <w:sdtEndPr>
                <w:rPr>
                  <w:bCs/>
                </w:rPr>
              </w:sdtEndPr>
              <w:sdtContent>
                <w:r w:rsidR="00451B40">
                  <w:t>Zajištění dopravní obslužnosti MAD na území města Třebíče a vybraných okolních obcí</w:t>
                </w:r>
              </w:sdtContent>
            </w:sdt>
            <w:r>
              <w:t>“ zadávanou Objednatelem</w:t>
            </w:r>
          </w:p>
        </w:tc>
      </w:tr>
      <w:tr w:rsidR="00AF6396" w:rsidRPr="00CD61FC" w14:paraId="71704B20" w14:textId="77777777" w:rsidTr="006E201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512" w:type="pct"/>
            <w:shd w:val="clear" w:color="auto" w:fill="BFBFBF" w:themeFill="background1" w:themeFillShade="BF"/>
          </w:tcPr>
          <w:p w14:paraId="170D02AF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Vozokm</w:t>
            </w:r>
          </w:p>
        </w:tc>
        <w:tc>
          <w:tcPr>
            <w:tcW w:w="3488" w:type="pct"/>
          </w:tcPr>
          <w:p w14:paraId="692CA985" w14:textId="77777777" w:rsidR="00AF6396" w:rsidRPr="00D305A0" w:rsidRDefault="00AF6396" w:rsidP="006E201D">
            <w:pPr>
              <w:pStyle w:val="Default"/>
              <w:jc w:val="both"/>
              <w:rPr>
                <w:rFonts w:asciiTheme="minorHAnsi" w:hAnsiTheme="minorHAnsi"/>
                <w:highlight w:val="red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F2140A">
              <w:rPr>
                <w:rFonts w:asciiTheme="minorHAnsi" w:hAnsiTheme="minorHAnsi"/>
                <w:sz w:val="22"/>
                <w:szCs w:val="22"/>
              </w:rPr>
              <w:t>namená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2140A">
              <w:rPr>
                <w:rFonts w:asciiTheme="minorHAnsi" w:hAnsiTheme="minorHAnsi"/>
                <w:sz w:val="22"/>
                <w:szCs w:val="22"/>
              </w:rPr>
              <w:t>“vozokilometr“, tedy kilometr najetý v rámci plnění Veřejné zakázky jednotlivými vozidly Dopravce mezi jednotlivými zastávkami na Spojích v Lokalitě dle Jízdních řádů.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044BB">
              <w:rPr>
                <w:rFonts w:asciiTheme="minorHAnsi" w:hAnsiTheme="minorHAnsi"/>
                <w:sz w:val="22"/>
                <w:szCs w:val="22"/>
              </w:rPr>
              <w:t xml:space="preserve">Do Vozokm nejsou započítávány přejezdové kilometry, vzdálenosti ujeté v souvislosti s </w:t>
            </w:r>
            <w:r w:rsidRPr="004044BB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otáčením vozidel, tankováním, servisem vozidel, přejezdy vozidel mezi linkami a jiné „prázdné kilometry“. </w:t>
            </w:r>
          </w:p>
        </w:tc>
      </w:tr>
      <w:tr w:rsidR="00AF6396" w:rsidRPr="00CD61FC" w14:paraId="6FE06E4D" w14:textId="77777777" w:rsidTr="006E201D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512" w:type="pct"/>
            <w:shd w:val="clear" w:color="auto" w:fill="BFBFBF" w:themeFill="background1" w:themeFillShade="BF"/>
          </w:tcPr>
          <w:p w14:paraId="7BFEF578" w14:textId="73A18C5E" w:rsidR="00AF6396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lastRenderedPageBreak/>
              <w:t xml:space="preserve">Výchozí rozsah </w:t>
            </w:r>
            <w:r w:rsidR="00352CA4">
              <w:rPr>
                <w:rFonts w:ascii="Calibri" w:hAnsi="Calibri" w:cs="Palatino Linotype"/>
                <w:b/>
                <w:bCs/>
                <w:color w:val="000000"/>
              </w:rPr>
              <w:t>S</w:t>
            </w:r>
            <w:r>
              <w:rPr>
                <w:rFonts w:ascii="Calibri" w:hAnsi="Calibri" w:cs="Palatino Linotype"/>
                <w:b/>
                <w:bCs/>
                <w:color w:val="000000"/>
              </w:rPr>
              <w:t>lužby</w:t>
            </w:r>
          </w:p>
        </w:tc>
        <w:tc>
          <w:tcPr>
            <w:tcW w:w="3488" w:type="pct"/>
          </w:tcPr>
          <w:p w14:paraId="7F1BFDB1" w14:textId="2CFF2167" w:rsidR="00AF6396" w:rsidRPr="00F2140A" w:rsidRDefault="00AF6396" w:rsidP="006E201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má význam uvedený v </w:t>
            </w:r>
            <w:r w:rsidR="00451B40">
              <w:rPr>
                <w:rFonts w:asciiTheme="minorHAnsi" w:hAnsiTheme="minorHAnsi"/>
                <w:sz w:val="22"/>
                <w:szCs w:val="22"/>
              </w:rPr>
              <w:t>odst.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2.1 Smlouvy.</w:t>
            </w:r>
          </w:p>
        </w:tc>
      </w:tr>
      <w:tr w:rsidR="00AF6396" w:rsidRPr="00CD61FC" w14:paraId="098377A4" w14:textId="77777777" w:rsidTr="006E201D">
        <w:tblPrEx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1512" w:type="pct"/>
            <w:shd w:val="clear" w:color="auto" w:fill="BFBFBF" w:themeFill="background1" w:themeFillShade="BF"/>
          </w:tcPr>
          <w:p w14:paraId="0FF47BAF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Výnosy pro výpočet kompenzace</w:t>
            </w:r>
          </w:p>
        </w:tc>
        <w:tc>
          <w:tcPr>
            <w:tcW w:w="3488" w:type="pct"/>
          </w:tcPr>
          <w:p w14:paraId="313997DB" w14:textId="5AA67F9C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 xml:space="preserve">znamená jakékoli výnosy a užitky získané Dopravcem v souvislosti s plněním Smlouvy (mimo plateb Kompenzace od Objednatele) zahrnující zejména Tržby, vymožené </w:t>
            </w:r>
            <w:r>
              <w:t xml:space="preserve">přirážky k jízdnému dle článku 6.5 Smlouvy, </w:t>
            </w:r>
            <w:r>
              <w:rPr>
                <w:rFonts w:ascii="Calibri" w:hAnsi="Calibri" w:cs="Palatino Linotype"/>
                <w:color w:val="000000"/>
              </w:rPr>
              <w:t>příjmy z pronájmu reklamních ploch a ostatní příjmy (např. prodej jízdních řádů, přelepek apod.).</w:t>
            </w:r>
          </w:p>
        </w:tc>
      </w:tr>
      <w:tr w:rsidR="00AF6396" w:rsidRPr="00CD61FC" w14:paraId="4B16D3A6" w14:textId="77777777" w:rsidTr="006E201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512" w:type="pct"/>
            <w:shd w:val="clear" w:color="auto" w:fill="BFBFBF" w:themeFill="background1" w:themeFillShade="BF"/>
          </w:tcPr>
          <w:p w14:paraId="13918235" w14:textId="77777777" w:rsidR="00AF6396" w:rsidRPr="0062393D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62393D">
              <w:rPr>
                <w:rFonts w:ascii="Calibri" w:hAnsi="Calibri" w:cs="Palatino Linotype"/>
                <w:b/>
                <w:bCs/>
                <w:color w:val="000000"/>
              </w:rPr>
              <w:t xml:space="preserve">Zadávací dokumentace </w:t>
            </w:r>
          </w:p>
        </w:tc>
        <w:tc>
          <w:tcPr>
            <w:tcW w:w="3488" w:type="pct"/>
          </w:tcPr>
          <w:p w14:paraId="503CE480" w14:textId="35658A4B" w:rsidR="00AF6396" w:rsidRPr="0062393D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62393D">
              <w:rPr>
                <w:rFonts w:ascii="Calibri" w:hAnsi="Calibri" w:cs="Palatino Linotype"/>
                <w:color w:val="000000"/>
              </w:rPr>
              <w:t xml:space="preserve">znamená </w:t>
            </w:r>
            <w:r w:rsidRPr="00CA214C">
              <w:rPr>
                <w:rFonts w:ascii="Calibri" w:hAnsi="Calibri" w:cs="Palatino Linotype"/>
                <w:color w:val="000000"/>
              </w:rPr>
              <w:t xml:space="preserve">dokumentaci dle </w:t>
            </w:r>
            <w:r w:rsidRPr="00451B40">
              <w:rPr>
                <w:rFonts w:ascii="Calibri" w:hAnsi="Calibri" w:cs="Palatino Linotype"/>
                <w:color w:val="000000"/>
              </w:rPr>
              <w:t xml:space="preserve">Zákona o </w:t>
            </w:r>
            <w:r w:rsidR="00CA214C" w:rsidRPr="00451B40">
              <w:rPr>
                <w:rFonts w:ascii="Calibri" w:hAnsi="Calibri" w:cs="Palatino Linotype"/>
                <w:color w:val="000000"/>
              </w:rPr>
              <w:t xml:space="preserve">zadávání </w:t>
            </w:r>
            <w:r w:rsidRPr="00451B40">
              <w:rPr>
                <w:rFonts w:ascii="Calibri" w:hAnsi="Calibri" w:cs="Palatino Linotype"/>
                <w:color w:val="000000"/>
              </w:rPr>
              <w:t xml:space="preserve">veřejných </w:t>
            </w:r>
            <w:r w:rsidR="002D7B07" w:rsidRPr="00451B40">
              <w:rPr>
                <w:rFonts w:ascii="Calibri" w:hAnsi="Calibri" w:cs="Palatino Linotype"/>
                <w:color w:val="000000"/>
              </w:rPr>
              <w:t>zakáz</w:t>
            </w:r>
            <w:r w:rsidR="002D7B07">
              <w:rPr>
                <w:rFonts w:ascii="Calibri" w:hAnsi="Calibri" w:cs="Palatino Linotype"/>
                <w:color w:val="000000"/>
              </w:rPr>
              <w:t>ek</w:t>
            </w:r>
            <w:r w:rsidR="002D7B07" w:rsidRPr="00CA214C">
              <w:rPr>
                <w:rFonts w:ascii="Calibri" w:hAnsi="Calibri" w:cs="Palatino Linotype"/>
                <w:color w:val="000000"/>
              </w:rPr>
              <w:t xml:space="preserve"> </w:t>
            </w:r>
            <w:r w:rsidRPr="00CA214C">
              <w:rPr>
                <w:rFonts w:ascii="Calibri" w:hAnsi="Calibri" w:cs="Palatino Linotype"/>
                <w:color w:val="000000"/>
              </w:rPr>
              <w:t>zpracovanou Objednatelem</w:t>
            </w:r>
            <w:r>
              <w:rPr>
                <w:rFonts w:ascii="Calibri" w:hAnsi="Calibri" w:cs="Palatino Linotype"/>
                <w:color w:val="000000"/>
              </w:rPr>
              <w:t xml:space="preserve"> pro</w:t>
            </w:r>
            <w:r w:rsidRPr="0062393D">
              <w:rPr>
                <w:rFonts w:ascii="Calibri" w:hAnsi="Calibri" w:cs="Palatino Linotype"/>
                <w:color w:val="000000"/>
              </w:rPr>
              <w:t xml:space="preserve"> </w:t>
            </w:r>
            <w:r>
              <w:rPr>
                <w:rFonts w:ascii="Calibri" w:hAnsi="Calibri" w:cs="Palatino Linotype"/>
                <w:color w:val="000000"/>
              </w:rPr>
              <w:t>Zadávací</w:t>
            </w:r>
            <w:r w:rsidRPr="0062393D">
              <w:rPr>
                <w:rFonts w:ascii="Calibri" w:hAnsi="Calibri" w:cs="Palatino Linotype"/>
                <w:color w:val="000000"/>
              </w:rPr>
              <w:t xml:space="preserve"> řízení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62393D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5AE429C7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45C25647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Zadávací</w:t>
            </w: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 řízení </w:t>
            </w:r>
          </w:p>
        </w:tc>
        <w:tc>
          <w:tcPr>
            <w:tcW w:w="3488" w:type="pct"/>
          </w:tcPr>
          <w:p w14:paraId="4B74CCDD" w14:textId="51C41676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 xml:space="preserve">znamená zadávací řízení dle Zákona o </w:t>
            </w:r>
            <w:r w:rsidR="00CE328E">
              <w:rPr>
                <w:rFonts w:ascii="Calibri" w:hAnsi="Calibri" w:cs="Palatino Linotype"/>
                <w:color w:val="000000"/>
              </w:rPr>
              <w:t>zadávání veřejných zakázek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ohledně poskytování Služby, na základě kterého byl vybrán Dopravce jako smluvní partner Objednatele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EA7B71" w:rsidRPr="00CD61FC" w14:paraId="03AD1D12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3E89DE60" w14:textId="276BCDF0" w:rsidR="00EA7B71" w:rsidRDefault="00EA7B71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Zahájení provozu</w:t>
            </w:r>
          </w:p>
        </w:tc>
        <w:tc>
          <w:tcPr>
            <w:tcW w:w="3488" w:type="pct"/>
          </w:tcPr>
          <w:p w14:paraId="4A24DFDE" w14:textId="12E705AF" w:rsidR="00EA7B71" w:rsidRPr="00CD61FC" w:rsidRDefault="002D7B07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47577E">
              <w:rPr>
                <w:rFonts w:cstheme="minorHAnsi"/>
              </w:rPr>
              <w:t>znamená den</w:t>
            </w:r>
            <w:r>
              <w:rPr>
                <w:rFonts w:cstheme="minorHAnsi"/>
              </w:rPr>
              <w:t xml:space="preserve"> uvedený v čl. 3 Smlouvy</w:t>
            </w:r>
            <w:r w:rsidRPr="0047577E">
              <w:rPr>
                <w:rFonts w:cstheme="minorHAnsi"/>
              </w:rPr>
              <w:t xml:space="preserve">, od něhož je Dopravce povinen </w:t>
            </w:r>
            <w:r w:rsidR="00451B40">
              <w:rPr>
                <w:rFonts w:cstheme="minorHAnsi"/>
              </w:rPr>
              <w:t>poskytovat Službu</w:t>
            </w:r>
            <w:r w:rsidRPr="0047577E">
              <w:rPr>
                <w:rFonts w:cstheme="minorHAnsi"/>
              </w:rPr>
              <w:t xml:space="preserve"> v rozsahu podle Smlouvy</w:t>
            </w:r>
            <w:r>
              <w:rPr>
                <w:rFonts w:cstheme="minorHAnsi"/>
              </w:rPr>
              <w:t>.</w:t>
            </w:r>
          </w:p>
        </w:tc>
      </w:tr>
      <w:tr w:rsidR="00AF6396" w:rsidRPr="00CD61FC" w14:paraId="1BE12AFA" w14:textId="77777777" w:rsidTr="006E201D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1512" w:type="pct"/>
            <w:shd w:val="clear" w:color="auto" w:fill="BFBFBF" w:themeFill="background1" w:themeFillShade="BF"/>
          </w:tcPr>
          <w:p w14:paraId="7E239BEB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Zákon o silniční dopravě </w:t>
            </w:r>
          </w:p>
        </w:tc>
        <w:tc>
          <w:tcPr>
            <w:tcW w:w="3488" w:type="pct"/>
          </w:tcPr>
          <w:p w14:paraId="37218467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zákon č. 111/1994 Sb., o silniční dopravě, ve znění pozdějších předpisů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AF6396" w:rsidRPr="00CD61FC" w14:paraId="4A188C6A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283A7E35" w14:textId="77777777" w:rsidR="00AF6396" w:rsidRPr="00CD61FC" w:rsidRDefault="00AF6396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b/>
                <w:bCs/>
                <w:color w:val="000000"/>
              </w:rPr>
              <w:t xml:space="preserve">Zákon o veřejných službách v přepravě cestujících </w:t>
            </w:r>
          </w:p>
        </w:tc>
        <w:tc>
          <w:tcPr>
            <w:tcW w:w="3488" w:type="pct"/>
          </w:tcPr>
          <w:p w14:paraId="6708725F" w14:textId="77777777" w:rsidR="00AF6396" w:rsidRPr="00CD61FC" w:rsidRDefault="00AF6396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 w:rsidRPr="00CD61FC">
              <w:rPr>
                <w:rFonts w:ascii="Calibri" w:hAnsi="Calibri" w:cs="Palatino Linotype"/>
                <w:color w:val="000000"/>
              </w:rPr>
              <w:t>znamená zákon č. 194/2010 Sb., o veřejných službách v přepravě cestujících a o změně dalších zákonů, ve znění pozdějších přepisů</w:t>
            </w:r>
            <w:r>
              <w:rPr>
                <w:rFonts w:ascii="Calibri" w:hAnsi="Calibri" w:cs="Palatino Linotype"/>
                <w:color w:val="000000"/>
              </w:rPr>
              <w:t>.</w:t>
            </w:r>
            <w:r w:rsidRPr="00CD61FC">
              <w:rPr>
                <w:rFonts w:ascii="Calibri" w:hAnsi="Calibri" w:cs="Palatino Linotype"/>
                <w:color w:val="000000"/>
              </w:rPr>
              <w:t xml:space="preserve"> </w:t>
            </w:r>
          </w:p>
        </w:tc>
      </w:tr>
      <w:tr w:rsidR="00CE328E" w:rsidRPr="00CD61FC" w14:paraId="024FA593" w14:textId="77777777" w:rsidTr="006E201D">
        <w:tblPrEx>
          <w:tblLook w:val="04A0" w:firstRow="1" w:lastRow="0" w:firstColumn="1" w:lastColumn="0" w:noHBand="0" w:noVBand="1"/>
        </w:tblPrEx>
        <w:trPr>
          <w:trHeight w:val="408"/>
        </w:trPr>
        <w:tc>
          <w:tcPr>
            <w:tcW w:w="1512" w:type="pct"/>
            <w:shd w:val="clear" w:color="auto" w:fill="BFBFBF" w:themeFill="background1" w:themeFillShade="BF"/>
          </w:tcPr>
          <w:p w14:paraId="48F86C11" w14:textId="72537ACF" w:rsidR="00CE328E" w:rsidRPr="00CD61FC" w:rsidRDefault="00CE328E" w:rsidP="006E201D">
            <w:pPr>
              <w:autoSpaceDE w:val="0"/>
              <w:autoSpaceDN w:val="0"/>
              <w:adjustRightInd w:val="0"/>
              <w:rPr>
                <w:rFonts w:ascii="Calibri" w:hAnsi="Calibri" w:cs="Palatino Linotype"/>
                <w:b/>
                <w:bCs/>
                <w:color w:val="000000"/>
              </w:rPr>
            </w:pPr>
            <w:r>
              <w:rPr>
                <w:rFonts w:ascii="Calibri" w:hAnsi="Calibri" w:cs="Palatino Linotype"/>
                <w:b/>
                <w:bCs/>
                <w:color w:val="000000"/>
              </w:rPr>
              <w:t>Zákon o zadávání veřejných zakázek</w:t>
            </w:r>
          </w:p>
        </w:tc>
        <w:tc>
          <w:tcPr>
            <w:tcW w:w="3488" w:type="pct"/>
          </w:tcPr>
          <w:p w14:paraId="7D56B44B" w14:textId="480BD6D7" w:rsidR="00CE328E" w:rsidRPr="00CD61FC" w:rsidRDefault="00596EE0" w:rsidP="006E201D">
            <w:pPr>
              <w:autoSpaceDE w:val="0"/>
              <w:autoSpaceDN w:val="0"/>
              <w:adjustRightInd w:val="0"/>
              <w:jc w:val="both"/>
              <w:rPr>
                <w:rFonts w:ascii="Calibri" w:hAnsi="Calibri" w:cs="Palatino Linotype"/>
                <w:color w:val="000000"/>
              </w:rPr>
            </w:pPr>
            <w:r>
              <w:rPr>
                <w:rFonts w:ascii="Calibri" w:hAnsi="Calibri" w:cs="Palatino Linotype"/>
                <w:color w:val="000000"/>
              </w:rPr>
              <w:t>z</w:t>
            </w:r>
            <w:r w:rsidR="00CE328E">
              <w:rPr>
                <w:rFonts w:ascii="Calibri" w:hAnsi="Calibri" w:cs="Palatino Linotype"/>
                <w:color w:val="000000"/>
              </w:rPr>
              <w:t>namená zákon č. 134/2016 Sb., o zadávání veřejných zakázek, ve znění pozdějších předpisů.</w:t>
            </w:r>
          </w:p>
        </w:tc>
      </w:tr>
    </w:tbl>
    <w:p w14:paraId="2ACF998C" w14:textId="77777777" w:rsidR="00AF6396" w:rsidRPr="00C71658" w:rsidRDefault="00AF6396" w:rsidP="00AF6396"/>
    <w:p w14:paraId="33289328" w14:textId="77777777" w:rsidR="007D52FE" w:rsidRDefault="007D52FE"/>
    <w:sectPr w:rsidR="007D52FE" w:rsidSect="007824D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061" w14:textId="77777777" w:rsidR="002075DE" w:rsidRDefault="002075DE">
      <w:pPr>
        <w:spacing w:after="0" w:line="240" w:lineRule="auto"/>
      </w:pPr>
      <w:r>
        <w:separator/>
      </w:r>
    </w:p>
  </w:endnote>
  <w:endnote w:type="continuationSeparator" w:id="0">
    <w:p w14:paraId="71694D12" w14:textId="77777777" w:rsidR="002075DE" w:rsidRDefault="0020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9613368"/>
      <w:docPartObj>
        <w:docPartGallery w:val="Page Numbers (Bottom of Page)"/>
        <w:docPartUnique/>
      </w:docPartObj>
    </w:sdtPr>
    <w:sdtContent>
      <w:p w14:paraId="021A7E02" w14:textId="77777777" w:rsidR="00656823" w:rsidRDefault="00000000" w:rsidP="007824D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4DE77" w14:textId="77777777" w:rsidR="002075DE" w:rsidRDefault="002075DE">
      <w:pPr>
        <w:spacing w:after="0" w:line="240" w:lineRule="auto"/>
      </w:pPr>
      <w:r>
        <w:separator/>
      </w:r>
    </w:p>
  </w:footnote>
  <w:footnote w:type="continuationSeparator" w:id="0">
    <w:p w14:paraId="4C75A55B" w14:textId="77777777" w:rsidR="002075DE" w:rsidRDefault="00207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54BD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22"/>
        <w:u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320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96"/>
    <w:rsid w:val="00047A09"/>
    <w:rsid w:val="000909EF"/>
    <w:rsid w:val="001E043B"/>
    <w:rsid w:val="002075DE"/>
    <w:rsid w:val="00270DC0"/>
    <w:rsid w:val="002B47D6"/>
    <w:rsid w:val="002D7B07"/>
    <w:rsid w:val="002E62BB"/>
    <w:rsid w:val="00352CA4"/>
    <w:rsid w:val="003C5E47"/>
    <w:rsid w:val="003D5EB1"/>
    <w:rsid w:val="00451B40"/>
    <w:rsid w:val="0047073C"/>
    <w:rsid w:val="00554DC9"/>
    <w:rsid w:val="00560727"/>
    <w:rsid w:val="00596EE0"/>
    <w:rsid w:val="006065CF"/>
    <w:rsid w:val="00697D69"/>
    <w:rsid w:val="006C64CC"/>
    <w:rsid w:val="0073304F"/>
    <w:rsid w:val="007D52FE"/>
    <w:rsid w:val="00867513"/>
    <w:rsid w:val="008F7B67"/>
    <w:rsid w:val="00975BE1"/>
    <w:rsid w:val="00976CD5"/>
    <w:rsid w:val="00AF003F"/>
    <w:rsid w:val="00AF6396"/>
    <w:rsid w:val="00B83E23"/>
    <w:rsid w:val="00C85D64"/>
    <w:rsid w:val="00CA214C"/>
    <w:rsid w:val="00CC2993"/>
    <w:rsid w:val="00CE328E"/>
    <w:rsid w:val="00D3150E"/>
    <w:rsid w:val="00D62813"/>
    <w:rsid w:val="00DA7774"/>
    <w:rsid w:val="00DD191E"/>
    <w:rsid w:val="00DF1486"/>
    <w:rsid w:val="00EA7B71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3DCE"/>
  <w15:chartTrackingRefBased/>
  <w15:docId w15:val="{F8875AAC-39CC-41C3-AC87-2E0A4B2A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396"/>
    <w:rPr>
      <w:kern w:val="0"/>
      <w14:ligatures w14:val="none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AF6396"/>
    <w:pPr>
      <w:keepNext/>
      <w:keepLines/>
      <w:numPr>
        <w:numId w:val="1"/>
      </w:numPr>
      <w:spacing w:before="480" w:after="120"/>
      <w:ind w:left="431" w:hanging="431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6396"/>
    <w:pPr>
      <w:keepNext/>
      <w:keepLines/>
      <w:numPr>
        <w:ilvl w:val="1"/>
        <w:numId w:val="1"/>
      </w:numPr>
      <w:spacing w:before="120" w:after="0" w:line="276" w:lineRule="auto"/>
      <w:jc w:val="both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639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639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639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639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639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639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639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AF6396"/>
    <w:rPr>
      <w:rFonts w:eastAsiaTheme="majorEastAsia" w:cstheme="majorBidi"/>
      <w:b/>
      <w:caps/>
      <w:kern w:val="0"/>
      <w:szCs w:val="3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AF6396"/>
    <w:rPr>
      <w:rFonts w:eastAsiaTheme="majorEastAsia" w:cstheme="majorBidi"/>
      <w:kern w:val="0"/>
      <w:szCs w:val="26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AF6396"/>
    <w:rPr>
      <w:rFonts w:eastAsiaTheme="majorEastAsia" w:cstheme="majorBidi"/>
      <w:kern w:val="0"/>
      <w:szCs w:val="24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AF6396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6396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6396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6396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6396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639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customStyle="1" w:styleId="Default">
    <w:name w:val="Default"/>
    <w:rsid w:val="00AF639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F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6396"/>
    <w:rPr>
      <w:kern w:val="0"/>
      <w14:ligatures w14:val="none"/>
    </w:rPr>
  </w:style>
  <w:style w:type="table" w:styleId="Mkatabulky">
    <w:name w:val="Table Grid"/>
    <w:basedOn w:val="Normlntabulka"/>
    <w:uiPriority w:val="39"/>
    <w:rsid w:val="00AF63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F63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63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6396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4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43B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EA7B71"/>
    <w:pPr>
      <w:spacing w:after="0" w:line="240" w:lineRule="auto"/>
    </w:pPr>
    <w:rPr>
      <w:kern w:val="0"/>
      <w14:ligatures w14:val="none"/>
    </w:rPr>
  </w:style>
  <w:style w:type="character" w:customStyle="1" w:styleId="upd">
    <w:name w:val="upd"/>
    <w:basedOn w:val="Standardnpsmoodstavce"/>
    <w:rsid w:val="00DF1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0B96F647D4BC3911F483B09D3A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00184-B5DA-4F7F-8E61-CADC0AABB9C0}"/>
      </w:docPartPr>
      <w:docPartBody>
        <w:p w:rsidR="00554DCE" w:rsidRDefault="00A94EFF" w:rsidP="00A94EFF">
          <w:pPr>
            <w:pStyle w:val="94A0B96F647D4BC3911F483B09D3A82F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FF"/>
    <w:rsid w:val="00554DCE"/>
    <w:rsid w:val="00A22DAF"/>
    <w:rsid w:val="00A94EFF"/>
    <w:rsid w:val="00BC1EEB"/>
    <w:rsid w:val="00BD009B"/>
    <w:rsid w:val="00D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4EFF"/>
  </w:style>
  <w:style w:type="paragraph" w:customStyle="1" w:styleId="94A0B96F647D4BC3911F483B09D3A82F">
    <w:name w:val="94A0B96F647D4BC3911F483B09D3A82F"/>
    <w:rsid w:val="00A94E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994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Daniel Jadrníček</cp:lastModifiedBy>
  <cp:revision>17</cp:revision>
  <dcterms:created xsi:type="dcterms:W3CDTF">2023-05-03T04:36:00Z</dcterms:created>
  <dcterms:modified xsi:type="dcterms:W3CDTF">2023-05-31T16:24:00Z</dcterms:modified>
</cp:coreProperties>
</file>