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77777777" w:rsidR="000B3339" w:rsidRPr="00FA3204" w:rsidRDefault="00CA6DBC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28"/>
        </w:rPr>
        <w:t>o prokázání kvalifikace</w:t>
      </w:r>
      <w:r w:rsidR="005D1573" w:rsidRPr="00FA3204">
        <w:rPr>
          <w:rFonts w:ascii="Arial" w:hAnsi="Arial" w:cs="Arial"/>
          <w:b/>
          <w:bCs/>
          <w:sz w:val="28"/>
        </w:rPr>
        <w:t xml:space="preserve"> dodavatele</w:t>
      </w:r>
      <w:r w:rsidRPr="00FA3204">
        <w:rPr>
          <w:rFonts w:ascii="Arial" w:hAnsi="Arial" w:cs="Arial"/>
          <w:b/>
          <w:bCs/>
          <w:sz w:val="28"/>
        </w:rPr>
        <w:t xml:space="preserve"> </w:t>
      </w:r>
      <w:r w:rsidR="000B3339" w:rsidRPr="00FA3204">
        <w:rPr>
          <w:rFonts w:ascii="Arial" w:hAnsi="Arial" w:cs="Arial"/>
          <w:b/>
          <w:bCs/>
          <w:sz w:val="28"/>
        </w:rPr>
        <w:t>pro zjednodušené podlimitní řízení</w:t>
      </w:r>
      <w:r w:rsidR="000B3339" w:rsidRPr="00FA3204">
        <w:rPr>
          <w:rFonts w:ascii="Arial" w:hAnsi="Arial" w:cs="Arial"/>
        </w:rPr>
        <w:t xml:space="preserve"> </w:t>
      </w:r>
      <w:r w:rsidR="000B3339" w:rsidRPr="00FA3204">
        <w:rPr>
          <w:rFonts w:ascii="Arial" w:hAnsi="Arial" w:cs="Arial"/>
          <w:b/>
          <w:bCs/>
          <w:sz w:val="28"/>
        </w:rPr>
        <w:t>podle zákona č.</w:t>
      </w:r>
      <w:r w:rsidR="00D65A59" w:rsidRPr="00FA3204">
        <w:rPr>
          <w:rFonts w:ascii="Arial" w:hAnsi="Arial" w:cs="Arial"/>
          <w:b/>
          <w:bCs/>
          <w:sz w:val="28"/>
        </w:rPr>
        <w:t xml:space="preserve"> </w:t>
      </w:r>
      <w:r w:rsidR="000B3339" w:rsidRPr="00FA3204">
        <w:rPr>
          <w:rFonts w:ascii="Arial" w:hAnsi="Arial" w:cs="Arial"/>
          <w:b/>
          <w:bCs/>
          <w:sz w:val="28"/>
        </w:rPr>
        <w:t>13</w:t>
      </w:r>
      <w:r w:rsidR="002006FE" w:rsidRPr="00FA3204">
        <w:rPr>
          <w:rFonts w:ascii="Arial" w:hAnsi="Arial" w:cs="Arial"/>
          <w:b/>
          <w:bCs/>
          <w:sz w:val="28"/>
        </w:rPr>
        <w:t>4/201</w:t>
      </w:r>
      <w:r w:rsidR="000B3339" w:rsidRPr="00FA3204">
        <w:rPr>
          <w:rFonts w:ascii="Arial" w:hAnsi="Arial" w:cs="Arial"/>
          <w:b/>
          <w:bCs/>
          <w:sz w:val="28"/>
        </w:rPr>
        <w:t xml:space="preserve">6 Sb., o </w:t>
      </w:r>
      <w:r w:rsidR="002006FE" w:rsidRPr="00FA3204">
        <w:rPr>
          <w:rFonts w:ascii="Arial" w:hAnsi="Arial" w:cs="Arial"/>
          <w:b/>
          <w:bCs/>
          <w:sz w:val="28"/>
        </w:rPr>
        <w:t xml:space="preserve">zadávání </w:t>
      </w:r>
      <w:r w:rsidR="000B3339" w:rsidRPr="00FA3204">
        <w:rPr>
          <w:rFonts w:ascii="Arial" w:hAnsi="Arial" w:cs="Arial"/>
          <w:b/>
          <w:bCs/>
          <w:sz w:val="28"/>
        </w:rPr>
        <w:t>veřejných za</w:t>
      </w:r>
      <w:r w:rsidR="0044335A" w:rsidRPr="00FA3204">
        <w:rPr>
          <w:rFonts w:ascii="Arial" w:hAnsi="Arial" w:cs="Arial"/>
          <w:b/>
          <w:bCs/>
          <w:sz w:val="28"/>
        </w:rPr>
        <w:t>káz</w:t>
      </w:r>
      <w:r w:rsidR="002006FE" w:rsidRPr="00FA3204">
        <w:rPr>
          <w:rFonts w:ascii="Arial" w:hAnsi="Arial" w:cs="Arial"/>
          <w:b/>
          <w:bCs/>
          <w:sz w:val="28"/>
        </w:rPr>
        <w:t>e</w:t>
      </w:r>
      <w:r w:rsidR="0044335A" w:rsidRPr="00FA3204">
        <w:rPr>
          <w:rFonts w:ascii="Arial" w:hAnsi="Arial" w:cs="Arial"/>
          <w:b/>
          <w:bCs/>
          <w:sz w:val="28"/>
        </w:rPr>
        <w:t>k, ve </w:t>
      </w:r>
      <w:r w:rsidR="00D65A59" w:rsidRPr="00FA3204">
        <w:rPr>
          <w:rFonts w:ascii="Arial" w:hAnsi="Arial" w:cs="Arial"/>
          <w:b/>
          <w:bCs/>
          <w:sz w:val="28"/>
        </w:rPr>
        <w:t xml:space="preserve">znění pozdějších předpisů, </w:t>
      </w:r>
      <w:r w:rsidR="000B3339" w:rsidRPr="00FA3204">
        <w:rPr>
          <w:rFonts w:ascii="Arial" w:hAnsi="Arial" w:cs="Arial"/>
          <w:b/>
          <w:bCs/>
          <w:sz w:val="28"/>
        </w:rPr>
        <w:t>pro</w:t>
      </w:r>
      <w:r w:rsidR="00D65A59" w:rsidRPr="00FA3204">
        <w:rPr>
          <w:rFonts w:ascii="Arial" w:hAnsi="Arial" w:cs="Arial"/>
          <w:b/>
          <w:bCs/>
          <w:sz w:val="28"/>
        </w:rPr>
        <w:t> </w:t>
      </w:r>
      <w:r w:rsidR="000B3339" w:rsidRPr="00FA3204">
        <w:rPr>
          <w:rFonts w:ascii="Arial" w:hAnsi="Arial" w:cs="Arial"/>
          <w:b/>
          <w:bCs/>
          <w:sz w:val="28"/>
        </w:rPr>
        <w:t>veřejnou zakázku</w:t>
      </w:r>
      <w:r w:rsidR="000B3339" w:rsidRPr="00FA3204">
        <w:rPr>
          <w:rFonts w:ascii="Arial" w:hAnsi="Arial" w:cs="Arial"/>
          <w:b/>
          <w:bCs/>
          <w:sz w:val="44"/>
        </w:rPr>
        <w:t xml:space="preserve"> </w:t>
      </w:r>
    </w:p>
    <w:p w14:paraId="77A473FA" w14:textId="77777777" w:rsidR="000B3339" w:rsidRPr="00FA3204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highlight w:val="red"/>
        </w:rPr>
      </w:pPr>
    </w:p>
    <w:p w14:paraId="61F93B99" w14:textId="15988DDA" w:rsidR="00CC2528" w:rsidRPr="00C80BDF" w:rsidRDefault="00CC2528" w:rsidP="00CC2528">
      <w:pPr>
        <w:tabs>
          <w:tab w:val="left" w:pos="284"/>
        </w:tabs>
        <w:jc w:val="center"/>
        <w:rPr>
          <w:rFonts w:ascii="Arial" w:hAnsi="Arial" w:cs="Arial"/>
          <w:b/>
          <w:sz w:val="52"/>
          <w:szCs w:val="32"/>
        </w:rPr>
      </w:pPr>
      <w:r w:rsidRPr="00C80BDF">
        <w:rPr>
          <w:rFonts w:ascii="Arial" w:hAnsi="Arial" w:cs="Arial"/>
          <w:b/>
          <w:sz w:val="36"/>
        </w:rPr>
        <w:t>Rozvoj veřejné infrastruktury cestovního ruchu – hvězdárna Třebíč</w:t>
      </w:r>
      <w:r w:rsidR="00167537">
        <w:rPr>
          <w:rFonts w:ascii="Arial" w:hAnsi="Arial" w:cs="Arial"/>
          <w:b/>
          <w:sz w:val="36"/>
        </w:rPr>
        <w:t xml:space="preserve"> – digitální planetárium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6D557E2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03D5340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obchodování s lidmi,</w:t>
      </w:r>
    </w:p>
    <w:p w14:paraId="253A8BB3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majetku</w:t>
      </w:r>
    </w:p>
    <w:p w14:paraId="520E159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podvod,</w:t>
      </w:r>
    </w:p>
    <w:p w14:paraId="015FFBBC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úvěrový podvod,</w:t>
      </w:r>
    </w:p>
    <w:p w14:paraId="5A490AA6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dotační podvod,</w:t>
      </w:r>
    </w:p>
    <w:p w14:paraId="6EA9C687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činnosti,</w:t>
      </w:r>
    </w:p>
    <w:p w14:paraId="02320C5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 z nedbalosti,</w:t>
      </w:r>
    </w:p>
    <w:p w14:paraId="550F998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hospodářské</w:t>
      </w:r>
    </w:p>
    <w:p w14:paraId="5282A86A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zneužití informace a postavení v obchodním styku,</w:t>
      </w:r>
    </w:p>
    <w:p w14:paraId="7983D47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sjednání výhody při zadání veřejné zakázky, při veřejné soutěži a veřejné dražbě,</w:t>
      </w:r>
    </w:p>
    <w:p w14:paraId="517A6033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zadání veřejné zakázky a při veřejné soutěži,</w:t>
      </w:r>
    </w:p>
    <w:p w14:paraId="5EC95A52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veřejné dražbě,</w:t>
      </w:r>
    </w:p>
    <w:p w14:paraId="6D9AD4C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poškození finančních zájmů Evropské unie,</w:t>
      </w:r>
    </w:p>
    <w:p w14:paraId="67E2B49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obecně nebezpečné,</w:t>
      </w:r>
    </w:p>
    <w:p w14:paraId="7F36988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proti České republice, cizímu státu a mezinárodní organizaci,</w:t>
      </w:r>
    </w:p>
    <w:p w14:paraId="6C879D6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pořádku ve věcech veřejných</w:t>
      </w:r>
    </w:p>
    <w:p w14:paraId="29ADA71F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proti výkonu pravomoci orgánu veřejné moci a úřední osoby,</w:t>
      </w:r>
    </w:p>
    <w:p w14:paraId="05F1271C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úředních osob,</w:t>
      </w:r>
    </w:p>
    <w:p w14:paraId="0F75FE4B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úplatkářství,</w:t>
      </w:r>
    </w:p>
    <w:p w14:paraId="3CA941A9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jiná rušení činnosti orgánu veřejné moci.</w:t>
      </w:r>
    </w:p>
    <w:p w14:paraId="4448D5FF" w14:textId="77777777" w:rsidR="002006FE" w:rsidRPr="00FA3204" w:rsidRDefault="002006FE" w:rsidP="002006FE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lastRenderedPageBreak/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77777777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 originál, nebo ověřenou kopii:</w:t>
      </w:r>
    </w:p>
    <w:p w14:paraId="4FD5B0A2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výpisu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výpisu z obchodního rejstříku, nebo předložením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77777777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8E294D" w:rsidRPr="00FA3204">
        <w:rPr>
          <w:rFonts w:ascii="Arial" w:hAnsi="Arial" w:cs="Arial"/>
          <w:sz w:val="22"/>
          <w:szCs w:val="22"/>
          <w:lang w:eastAsia="ar-SA"/>
        </w:rPr>
        <w:t>podání nabídky.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 originál, nebo ověřenou kopii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výpisu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tento výpis musí prokazovat splnění požadovaného kritéria způsobilosti nejpozději v době 3 měsíců přede dnem </w:t>
      </w:r>
      <w:r w:rsidR="008E294D" w:rsidRPr="00FA3204">
        <w:rPr>
          <w:rFonts w:ascii="Arial" w:hAnsi="Arial" w:cs="Arial"/>
          <w:sz w:val="22"/>
          <w:szCs w:val="22"/>
        </w:rPr>
        <w:t>podání nabídky</w:t>
      </w:r>
      <w:r w:rsidR="00590E12" w:rsidRPr="00FA3204">
        <w:rPr>
          <w:rFonts w:ascii="Arial" w:hAnsi="Arial" w:cs="Arial"/>
          <w:sz w:val="22"/>
          <w:szCs w:val="22"/>
        </w:rPr>
        <w:t>.</w:t>
      </w:r>
    </w:p>
    <w:p w14:paraId="0E84A6CA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dokladu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1CC39DF4" w14:textId="24649D73" w:rsidR="00643DDF" w:rsidRPr="00FA3204" w:rsidRDefault="007645AA" w:rsidP="002C01E1">
      <w:pPr>
        <w:widowControl w:val="0"/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7645AA">
        <w:rPr>
          <w:rFonts w:ascii="Arial" w:hAnsi="Arial" w:cs="Arial"/>
          <w:b/>
          <w:sz w:val="22"/>
          <w:szCs w:val="22"/>
        </w:rPr>
        <w:t xml:space="preserve">Výroba, instalace, opravy elektrických strojů a přístrojů, </w:t>
      </w:r>
      <w:r w:rsidR="003914C3">
        <w:rPr>
          <w:rFonts w:ascii="Arial" w:hAnsi="Arial" w:cs="Arial"/>
          <w:b/>
          <w:sz w:val="22"/>
          <w:szCs w:val="22"/>
        </w:rPr>
        <w:t>elektronických a </w:t>
      </w:r>
      <w:r w:rsidRPr="007645AA">
        <w:rPr>
          <w:rFonts w:ascii="Arial" w:hAnsi="Arial" w:cs="Arial"/>
          <w:b/>
          <w:sz w:val="22"/>
          <w:szCs w:val="22"/>
        </w:rPr>
        <w:t>telekomunikačních zařízení,</w:t>
      </w:r>
      <w:r w:rsidR="004C6043">
        <w:rPr>
          <w:rFonts w:ascii="Arial" w:hAnsi="Arial" w:cs="Arial"/>
          <w:b/>
          <w:sz w:val="22"/>
          <w:szCs w:val="22"/>
        </w:rPr>
        <w:t xml:space="preserve"> </w:t>
      </w:r>
      <w:r w:rsidR="004C6043" w:rsidRPr="004C6043">
        <w:rPr>
          <w:rFonts w:ascii="Arial" w:hAnsi="Arial" w:cs="Arial"/>
          <w:sz w:val="22"/>
          <w:szCs w:val="22"/>
        </w:rPr>
        <w:t>či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76AF6">
        <w:rPr>
          <w:rFonts w:ascii="Arial" w:hAnsi="Arial" w:cs="Arial"/>
          <w:b/>
          <w:sz w:val="22"/>
          <w:szCs w:val="22"/>
        </w:rPr>
        <w:t>Výroba, obchod a </w:t>
      </w:r>
      <w:r w:rsidR="003914C3">
        <w:rPr>
          <w:rFonts w:ascii="Arial" w:hAnsi="Arial" w:cs="Arial"/>
          <w:b/>
          <w:sz w:val="22"/>
          <w:szCs w:val="22"/>
        </w:rPr>
        <w:t>služby neuvedené v </w:t>
      </w:r>
      <w:r w:rsidR="00643DDF" w:rsidRPr="00F64789">
        <w:rPr>
          <w:rFonts w:ascii="Arial" w:hAnsi="Arial" w:cs="Arial"/>
          <w:b/>
          <w:sz w:val="22"/>
          <w:szCs w:val="22"/>
        </w:rPr>
        <w:t>přílohách 1 až 3 živnostenského zákona</w:t>
      </w:r>
      <w:r w:rsidR="00A76AF6">
        <w:rPr>
          <w:rFonts w:ascii="Arial" w:hAnsi="Arial" w:cs="Arial"/>
          <w:sz w:val="22"/>
          <w:szCs w:val="22"/>
        </w:rPr>
        <w:t xml:space="preserve"> či obdobné.</w:t>
      </w:r>
    </w:p>
    <w:p w14:paraId="1D16F61B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14EC2AC6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="00AF2232" w:rsidRPr="00FA3204">
        <w:rPr>
          <w:rFonts w:ascii="Arial" w:hAnsi="Arial" w:cs="Arial"/>
          <w:b/>
          <w:sz w:val="22"/>
          <w:szCs w:val="22"/>
          <w:lang w:eastAsia="ar-SA"/>
        </w:rPr>
        <w:t xml:space="preserve"> jsem ekonomicky způsobilý splnit veřejnou zakázku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lastRenderedPageBreak/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77777777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</w:t>
      </w:r>
      <w:r w:rsidR="00E832CC" w:rsidRPr="00FA320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832CC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originál, nebo ověřenou kopii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52443DEC" w14:textId="2E526130" w:rsidR="00AA1689" w:rsidRPr="00371060" w:rsidRDefault="00AA1689" w:rsidP="00AA1689">
      <w:pPr>
        <w:pStyle w:val="mujodstavec"/>
        <w:numPr>
          <w:ilvl w:val="1"/>
          <w:numId w:val="17"/>
        </w:numPr>
        <w:rPr>
          <w:rFonts w:cs="Arial"/>
          <w:b/>
          <w:bCs/>
        </w:rPr>
      </w:pPr>
      <w:r w:rsidRPr="00371060">
        <w:rPr>
          <w:rFonts w:cs="Arial"/>
          <w:b/>
          <w:bCs/>
        </w:rPr>
        <w:t>seznam</w:t>
      </w:r>
      <w:r w:rsidR="00A76AF6">
        <w:rPr>
          <w:rFonts w:cs="Arial"/>
          <w:b/>
          <w:bCs/>
        </w:rPr>
        <w:t>u</w:t>
      </w:r>
      <w:r w:rsidRPr="00371060">
        <w:rPr>
          <w:rFonts w:cs="Arial"/>
          <w:b/>
          <w:bCs/>
        </w:rPr>
        <w:t xml:space="preserve"> významných dodávek </w:t>
      </w:r>
      <w:r w:rsidRPr="00371060">
        <w:rPr>
          <w:rFonts w:cs="Arial"/>
          <w:bCs/>
        </w:rPr>
        <w:t>poskytnutých za poslední</w:t>
      </w:r>
      <w:r w:rsidR="00167537">
        <w:rPr>
          <w:rFonts w:cs="Arial"/>
          <w:bCs/>
        </w:rPr>
        <w:t>ch</w:t>
      </w:r>
      <w:r w:rsidRPr="00371060">
        <w:rPr>
          <w:rFonts w:cs="Arial"/>
          <w:bCs/>
        </w:rPr>
        <w:t xml:space="preserve"> </w:t>
      </w:r>
      <w:r w:rsidR="00167537">
        <w:rPr>
          <w:rFonts w:cs="Arial"/>
          <w:b/>
          <w:bCs/>
        </w:rPr>
        <w:t>5</w:t>
      </w:r>
      <w:r w:rsidRPr="00371060">
        <w:rPr>
          <w:rFonts w:cs="Arial"/>
          <w:b/>
          <w:bCs/>
        </w:rPr>
        <w:t xml:space="preserve"> </w:t>
      </w:r>
      <w:r w:rsidR="00167537">
        <w:rPr>
          <w:rFonts w:cs="Arial"/>
          <w:b/>
          <w:bCs/>
        </w:rPr>
        <w:t>let</w:t>
      </w:r>
      <w:r w:rsidRPr="00371060">
        <w:rPr>
          <w:rFonts w:cs="Arial"/>
          <w:b/>
          <w:bCs/>
        </w:rPr>
        <w:t xml:space="preserve"> </w:t>
      </w:r>
      <w:r w:rsidRPr="00371060">
        <w:rPr>
          <w:rFonts w:cs="Arial"/>
          <w:bCs/>
        </w:rPr>
        <w:t xml:space="preserve">před zahájením zadávacího řízení včetně uvedení </w:t>
      </w:r>
      <w:r w:rsidR="00A76AF6">
        <w:rPr>
          <w:rFonts w:cs="Arial"/>
          <w:bCs/>
        </w:rPr>
        <w:t>ceny a doby jejich poskytnutí a </w:t>
      </w:r>
      <w:r w:rsidRPr="00371060">
        <w:rPr>
          <w:rFonts w:cs="Arial"/>
          <w:bCs/>
        </w:rPr>
        <w:t>identifikace objednatele (zadavatel s ohledem na specifický předmět veřejné zakázky pro zajištění přiměřené úrovně hospodářské soutěže bude u tohoto kvalifikačního kritéria zohledňovat dobu delší než poslední 3 roky</w:t>
      </w:r>
      <w:r w:rsidR="004C6043">
        <w:rPr>
          <w:rFonts w:cs="Arial"/>
          <w:bCs/>
        </w:rPr>
        <w:t xml:space="preserve"> – v tomto případě 5 let</w:t>
      </w:r>
      <w:bookmarkStart w:id="0" w:name="_GoBack"/>
      <w:bookmarkEnd w:id="0"/>
      <w:r w:rsidRPr="00371060">
        <w:rPr>
          <w:rFonts w:cs="Arial"/>
          <w:bCs/>
        </w:rPr>
        <w:t>).</w:t>
      </w:r>
      <w:r w:rsidR="00A76AF6">
        <w:rPr>
          <w:rFonts w:cs="Arial"/>
          <w:bCs/>
        </w:rPr>
        <w:t xml:space="preserve"> </w:t>
      </w:r>
      <w:r w:rsidR="00A76AF6" w:rsidRPr="00371060">
        <w:rPr>
          <w:rFonts w:cs="Arial"/>
          <w:b/>
          <w:bCs/>
        </w:rPr>
        <w:t>Limit</w:t>
      </w:r>
      <w:r w:rsidR="00A76AF6" w:rsidRPr="00371060">
        <w:rPr>
          <w:rFonts w:cs="Arial"/>
          <w:bCs/>
        </w:rPr>
        <w:t xml:space="preserve"> pro splnění kvalifikace </w:t>
      </w:r>
      <w:proofErr w:type="gramStart"/>
      <w:r w:rsidR="00A76AF6" w:rsidRPr="00371060">
        <w:rPr>
          <w:rFonts w:cs="Arial"/>
          <w:bCs/>
        </w:rPr>
        <w:t>je</w:t>
      </w:r>
      <w:proofErr w:type="gramEnd"/>
      <w:r w:rsidR="00A76AF6" w:rsidRPr="00371060">
        <w:rPr>
          <w:rFonts w:cs="Arial"/>
          <w:bCs/>
        </w:rPr>
        <w:t xml:space="preserve"> stanoven</w:t>
      </w:r>
      <w:r w:rsidR="00A76AF6">
        <w:rPr>
          <w:rFonts w:cs="Arial"/>
          <w:bCs/>
        </w:rPr>
        <w:t xml:space="preserve"> nejméně 2 </w:t>
      </w:r>
      <w:proofErr w:type="gramStart"/>
      <w:r w:rsidR="00A76AF6">
        <w:rPr>
          <w:rFonts w:cs="Arial"/>
          <w:bCs/>
        </w:rPr>
        <w:t>zakázky</w:t>
      </w:r>
      <w:proofErr w:type="gramEnd"/>
      <w:r w:rsidR="00A76AF6">
        <w:rPr>
          <w:rFonts w:cs="Arial"/>
          <w:bCs/>
        </w:rPr>
        <w:t xml:space="preserve"> obdobného charakteru, tj.</w:t>
      </w:r>
      <w:r w:rsidR="00A76AF6" w:rsidRPr="00371060">
        <w:rPr>
          <w:rFonts w:cs="Arial"/>
          <w:bCs/>
        </w:rPr>
        <w:t>:</w:t>
      </w:r>
    </w:p>
    <w:p w14:paraId="476375BD" w14:textId="4B7C4495" w:rsidR="00A76AF6" w:rsidRDefault="00A76AF6" w:rsidP="00A76AF6">
      <w:pPr>
        <w:pStyle w:val="mujodstavec"/>
        <w:numPr>
          <w:ilvl w:val="2"/>
          <w:numId w:val="17"/>
        </w:numPr>
        <w:rPr>
          <w:rFonts w:cs="Arial"/>
          <w:bCs/>
        </w:rPr>
      </w:pPr>
      <w:r w:rsidRPr="00AB7800">
        <w:rPr>
          <w:rFonts w:cs="Arial"/>
          <w:b/>
          <w:bCs/>
        </w:rPr>
        <w:t>nejméně 1 zakázka</w:t>
      </w:r>
      <w:r>
        <w:rPr>
          <w:rFonts w:cs="Arial"/>
          <w:bCs/>
        </w:rPr>
        <w:t xml:space="preserve"> obdobného charakteru, tedy dodávka a instalace audiovizuální techniky pro konferenční sály, přednáškové sály, multikina, TV studia apod., v minimálním finančním objemu</w:t>
      </w:r>
      <w:r w:rsidRPr="00AB7800">
        <w:rPr>
          <w:rFonts w:cs="Arial"/>
          <w:b/>
          <w:bCs/>
        </w:rPr>
        <w:t xml:space="preserve"> 1.500.000</w:t>
      </w:r>
      <w:r w:rsidR="00167537">
        <w:rPr>
          <w:rFonts w:cs="Arial"/>
          <w:b/>
          <w:bCs/>
        </w:rPr>
        <w:t>,00</w:t>
      </w:r>
      <w:r w:rsidRPr="00AB7800">
        <w:rPr>
          <w:rFonts w:cs="Arial"/>
          <w:b/>
          <w:bCs/>
        </w:rPr>
        <w:t xml:space="preserve"> Kč bez DPH,</w:t>
      </w:r>
    </w:p>
    <w:p w14:paraId="4DA8A7F4" w14:textId="77777777" w:rsidR="00A76AF6" w:rsidRDefault="00A76AF6" w:rsidP="00A76AF6">
      <w:pPr>
        <w:pStyle w:val="mujodstavec"/>
        <w:ind w:left="2160"/>
        <w:rPr>
          <w:rFonts w:cs="Arial"/>
          <w:b/>
          <w:bCs/>
        </w:rPr>
      </w:pPr>
      <w:r>
        <w:rPr>
          <w:rFonts w:cs="Arial"/>
          <w:b/>
          <w:bCs/>
        </w:rPr>
        <w:t>a</w:t>
      </w:r>
    </w:p>
    <w:p w14:paraId="5A4022BE" w14:textId="0D580ADF" w:rsidR="00A76AF6" w:rsidRDefault="00A76AF6" w:rsidP="00A76AF6">
      <w:pPr>
        <w:pStyle w:val="mujodstavec"/>
        <w:numPr>
          <w:ilvl w:val="2"/>
          <w:numId w:val="17"/>
        </w:numPr>
        <w:rPr>
          <w:rFonts w:cs="Arial"/>
          <w:bCs/>
        </w:rPr>
      </w:pPr>
      <w:r w:rsidRPr="00371060">
        <w:rPr>
          <w:rFonts w:cs="Arial"/>
          <w:b/>
          <w:bCs/>
        </w:rPr>
        <w:t>nejméně</w:t>
      </w:r>
      <w:r w:rsidRPr="00371060">
        <w:rPr>
          <w:rFonts w:cs="Arial"/>
          <w:bCs/>
        </w:rPr>
        <w:t xml:space="preserve"> </w:t>
      </w:r>
      <w:r>
        <w:rPr>
          <w:rFonts w:cs="Arial"/>
          <w:b/>
          <w:bCs/>
        </w:rPr>
        <w:t>1</w:t>
      </w:r>
      <w:r w:rsidRPr="00371060">
        <w:rPr>
          <w:rFonts w:cs="Arial"/>
          <w:b/>
          <w:bCs/>
        </w:rPr>
        <w:t xml:space="preserve"> zakázk</w:t>
      </w:r>
      <w:r>
        <w:rPr>
          <w:rFonts w:cs="Arial"/>
          <w:b/>
          <w:bCs/>
        </w:rPr>
        <w:t>a</w:t>
      </w:r>
      <w:r w:rsidRPr="00371060">
        <w:rPr>
          <w:rFonts w:cs="Arial"/>
          <w:b/>
          <w:bCs/>
        </w:rPr>
        <w:t xml:space="preserve"> </w:t>
      </w:r>
      <w:r w:rsidRPr="00371060">
        <w:rPr>
          <w:rFonts w:cs="Arial"/>
          <w:bCs/>
        </w:rPr>
        <w:t xml:space="preserve">obdobného charakteru, tedy dodávka </w:t>
      </w:r>
      <w:r>
        <w:rPr>
          <w:rFonts w:cs="Arial"/>
          <w:bCs/>
        </w:rPr>
        <w:t xml:space="preserve">a instalace </w:t>
      </w:r>
      <w:r w:rsidRPr="00371060">
        <w:rPr>
          <w:rFonts w:cs="Arial"/>
          <w:bCs/>
        </w:rPr>
        <w:t xml:space="preserve">digitálního planetária, v minimálním finančním objemu </w:t>
      </w:r>
      <w:r w:rsidRPr="00371060">
        <w:rPr>
          <w:rFonts w:cs="Arial"/>
          <w:b/>
          <w:bCs/>
        </w:rPr>
        <w:t>1</w:t>
      </w:r>
      <w:r>
        <w:rPr>
          <w:rFonts w:cs="Arial"/>
          <w:b/>
          <w:bCs/>
        </w:rPr>
        <w:t>.</w:t>
      </w:r>
      <w:r w:rsidRPr="00371060">
        <w:rPr>
          <w:rFonts w:cs="Arial"/>
          <w:b/>
          <w:bCs/>
        </w:rPr>
        <w:t>5</w:t>
      </w:r>
      <w:r>
        <w:rPr>
          <w:rFonts w:cs="Arial"/>
          <w:b/>
          <w:bCs/>
        </w:rPr>
        <w:t>00.</w:t>
      </w:r>
      <w:r w:rsidRPr="00371060">
        <w:rPr>
          <w:rFonts w:cs="Arial"/>
          <w:b/>
          <w:bCs/>
        </w:rPr>
        <w:t>000</w:t>
      </w:r>
      <w:r w:rsidR="00167537">
        <w:rPr>
          <w:rFonts w:cs="Arial"/>
          <w:b/>
          <w:bCs/>
        </w:rPr>
        <w:t>,00</w:t>
      </w:r>
      <w:r w:rsidRPr="00371060">
        <w:rPr>
          <w:rFonts w:cs="Arial"/>
          <w:b/>
          <w:bCs/>
        </w:rPr>
        <w:t xml:space="preserve"> Kč bez DPH</w:t>
      </w:r>
      <w:r w:rsidRPr="00371060">
        <w:rPr>
          <w:rFonts w:cs="Arial"/>
          <w:bCs/>
        </w:rPr>
        <w:t>.</w:t>
      </w:r>
    </w:p>
    <w:p w14:paraId="51AC4B4D" w14:textId="4AFD14FB" w:rsidR="001B709B" w:rsidRPr="00FA3204" w:rsidRDefault="001B709B" w:rsidP="001B709B">
      <w:pPr>
        <w:jc w:val="both"/>
        <w:rPr>
          <w:rFonts w:ascii="Arial" w:hAnsi="Arial" w:cs="Arial"/>
          <w:b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 xml:space="preserve">Jsem srozuměn s tím, že </w:t>
      </w:r>
      <w:r w:rsidR="00DA6B3E" w:rsidRPr="00FA3204">
        <w:rPr>
          <w:rFonts w:ascii="Arial" w:hAnsi="Arial" w:cs="Arial"/>
          <w:b/>
          <w:sz w:val="22"/>
          <w:szCs w:val="22"/>
        </w:rPr>
        <w:t>účastník</w:t>
      </w:r>
      <w:r w:rsidRPr="00FA3204">
        <w:rPr>
          <w:rFonts w:ascii="Arial" w:hAnsi="Arial" w:cs="Arial"/>
          <w:b/>
          <w:sz w:val="22"/>
          <w:szCs w:val="22"/>
        </w:rPr>
        <w:t xml:space="preserve">, se kterým má být uzavřena smlouva podle § </w:t>
      </w:r>
      <w:r w:rsidR="00DA6B3E" w:rsidRPr="00FA3204">
        <w:rPr>
          <w:rFonts w:ascii="Arial" w:hAnsi="Arial" w:cs="Arial"/>
          <w:b/>
          <w:sz w:val="22"/>
          <w:szCs w:val="22"/>
        </w:rPr>
        <w:t>124</w:t>
      </w:r>
      <w:r w:rsidRPr="00FA3204">
        <w:rPr>
          <w:rFonts w:ascii="Arial" w:hAnsi="Arial" w:cs="Arial"/>
          <w:b/>
          <w:sz w:val="22"/>
          <w:szCs w:val="22"/>
        </w:rPr>
        <w:t xml:space="preserve"> zákona, je povinen před jejím uzavřením předložit zadavateli výše uvedené originály nebo úředně ověřené kopie dokladů p</w:t>
      </w:r>
      <w:r w:rsidR="00AF2232" w:rsidRPr="00FA3204">
        <w:rPr>
          <w:rFonts w:ascii="Arial" w:hAnsi="Arial" w:cs="Arial"/>
          <w:b/>
          <w:sz w:val="22"/>
          <w:szCs w:val="22"/>
        </w:rPr>
        <w:t>rokazující splnění kvalifikace</w:t>
      </w:r>
      <w:r w:rsidRPr="00FA3204">
        <w:rPr>
          <w:rFonts w:ascii="Arial" w:hAnsi="Arial" w:cs="Arial"/>
          <w:b/>
          <w:sz w:val="22"/>
          <w:szCs w:val="22"/>
        </w:rPr>
        <w:t xml:space="preserve">. Nesplnění této povinnosti ze strany </w:t>
      </w:r>
      <w:r w:rsidR="00EE3DFF" w:rsidRPr="00FA3204">
        <w:rPr>
          <w:rFonts w:ascii="Arial" w:hAnsi="Arial" w:cs="Arial"/>
          <w:b/>
          <w:sz w:val="22"/>
          <w:szCs w:val="22"/>
        </w:rPr>
        <w:t>vybraného dodavatele</w:t>
      </w:r>
      <w:r w:rsidR="002E36F2" w:rsidRPr="00FA3204">
        <w:rPr>
          <w:rFonts w:ascii="Arial" w:hAnsi="Arial" w:cs="Arial"/>
          <w:b/>
          <w:sz w:val="22"/>
          <w:szCs w:val="22"/>
        </w:rPr>
        <w:t xml:space="preserve"> se považuje za </w:t>
      </w:r>
      <w:r w:rsidRPr="00FA3204">
        <w:rPr>
          <w:rFonts w:ascii="Arial" w:hAnsi="Arial" w:cs="Arial"/>
          <w:b/>
          <w:sz w:val="22"/>
          <w:szCs w:val="22"/>
        </w:rPr>
        <w:t xml:space="preserve">neposkytnutí </w:t>
      </w:r>
      <w:r w:rsidR="00DA6B3E" w:rsidRPr="00FA3204">
        <w:rPr>
          <w:rFonts w:ascii="Arial" w:hAnsi="Arial" w:cs="Arial"/>
          <w:b/>
          <w:sz w:val="22"/>
          <w:szCs w:val="22"/>
        </w:rPr>
        <w:t>součinnosti k uzavření smlouvy a důvod k vyloučení vybraného d</w:t>
      </w:r>
      <w:r w:rsidR="00AF2232" w:rsidRPr="00FA3204">
        <w:rPr>
          <w:rFonts w:ascii="Arial" w:hAnsi="Arial" w:cs="Arial"/>
          <w:b/>
          <w:sz w:val="22"/>
          <w:szCs w:val="22"/>
        </w:rPr>
        <w:t>odavatele ve smyslu § 124 odst. </w:t>
      </w:r>
      <w:r w:rsidR="00DC4117" w:rsidRPr="00FA3204">
        <w:rPr>
          <w:rFonts w:ascii="Arial" w:hAnsi="Arial" w:cs="Arial"/>
          <w:b/>
          <w:sz w:val="22"/>
          <w:szCs w:val="22"/>
        </w:rPr>
        <w:t>2 </w:t>
      </w:r>
      <w:r w:rsidR="00DA6B3E" w:rsidRPr="00FA3204">
        <w:rPr>
          <w:rFonts w:ascii="Arial" w:hAnsi="Arial" w:cs="Arial"/>
          <w:b/>
          <w:sz w:val="22"/>
          <w:szCs w:val="22"/>
        </w:rPr>
        <w:t>zákona</w:t>
      </w:r>
      <w:r w:rsidRPr="00FA3204">
        <w:rPr>
          <w:rFonts w:ascii="Arial" w:hAnsi="Arial" w:cs="Arial"/>
          <w:b/>
          <w:sz w:val="22"/>
          <w:szCs w:val="22"/>
        </w:rPr>
        <w:t>.</w:t>
      </w:r>
    </w:p>
    <w:p w14:paraId="59D1A5CF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3DC93122" w14:textId="77777777" w:rsidR="00CC2528" w:rsidRPr="00235166" w:rsidRDefault="00CC2528" w:rsidP="00CC2528">
      <w:pPr>
        <w:pStyle w:val="mujodstavec"/>
        <w:rPr>
          <w:rFonts w:cs="Arial"/>
          <w:szCs w:val="22"/>
        </w:rPr>
      </w:pPr>
      <w:r w:rsidRPr="00235166">
        <w:rPr>
          <w:rFonts w:cs="Arial"/>
          <w:szCs w:val="22"/>
          <w:lang w:eastAsia="ar-SA"/>
        </w:rPr>
        <w:t xml:space="preserve">Současně jsem srozuměn s tím, že </w:t>
      </w:r>
      <w:r>
        <w:t xml:space="preserve">zadavatel u vybraného dodavatele </w:t>
      </w:r>
      <w:r w:rsidRPr="00235166">
        <w:rPr>
          <w:rFonts w:cs="Arial"/>
          <w:szCs w:val="22"/>
        </w:rPr>
        <w:t>bude zjišťovat údaje o skutečném majiteli dle § 122 odst. 4</w:t>
      </w:r>
      <w:r>
        <w:rPr>
          <w:rFonts w:cs="Arial"/>
          <w:szCs w:val="22"/>
        </w:rPr>
        <w:t xml:space="preserve"> zákona.</w:t>
      </w:r>
    </w:p>
    <w:p w14:paraId="64D17DD0" w14:textId="77777777" w:rsidR="00590635" w:rsidRPr="00FA3204" w:rsidRDefault="00590635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53D471C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415AE3D3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56E2F4BC" w14:textId="77777777" w:rsidR="00274A37" w:rsidRPr="00FA3204" w:rsidRDefault="00274A37" w:rsidP="001B709B">
      <w:pPr>
        <w:rPr>
          <w:rFonts w:ascii="Arial" w:hAnsi="Arial" w:cs="Arial"/>
          <w:sz w:val="22"/>
          <w:szCs w:val="22"/>
        </w:rPr>
      </w:pPr>
    </w:p>
    <w:p w14:paraId="5BD3BD64" w14:textId="77777777" w:rsidR="00274A37" w:rsidRPr="00FA3204" w:rsidRDefault="00274A37" w:rsidP="001B709B">
      <w:pPr>
        <w:rPr>
          <w:rFonts w:ascii="Arial" w:hAnsi="Arial" w:cs="Arial"/>
          <w:sz w:val="22"/>
          <w:szCs w:val="22"/>
        </w:rPr>
      </w:pPr>
    </w:p>
    <w:p w14:paraId="65159126" w14:textId="77777777" w:rsidR="008C6B90" w:rsidRPr="00FA3204" w:rsidRDefault="008C6B90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06EE801C" w14:textId="64640D5A" w:rsidR="007645AA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p w14:paraId="58523264" w14:textId="2E757019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5532F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0"/>
  </w:num>
  <w:num w:numId="5">
    <w:abstractNumId w:val="25"/>
  </w:num>
  <w:num w:numId="6">
    <w:abstractNumId w:val="23"/>
  </w:num>
  <w:num w:numId="7">
    <w:abstractNumId w:val="21"/>
  </w:num>
  <w:num w:numId="8">
    <w:abstractNumId w:val="11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5"/>
  </w:num>
  <w:num w:numId="17">
    <w:abstractNumId w:val="19"/>
  </w:num>
  <w:num w:numId="18">
    <w:abstractNumId w:val="7"/>
  </w:num>
  <w:num w:numId="19">
    <w:abstractNumId w:val="8"/>
  </w:num>
  <w:num w:numId="20">
    <w:abstractNumId w:val="9"/>
  </w:num>
  <w:num w:numId="21">
    <w:abstractNumId w:val="22"/>
  </w:num>
  <w:num w:numId="22">
    <w:abstractNumId w:val="15"/>
  </w:num>
  <w:num w:numId="23">
    <w:abstractNumId w:val="16"/>
  </w:num>
  <w:num w:numId="24">
    <w:abstractNumId w:val="24"/>
  </w:num>
  <w:num w:numId="25">
    <w:abstractNumId w:val="6"/>
  </w:num>
  <w:num w:numId="26">
    <w:abstractNumId w:val="26"/>
  </w:num>
  <w:num w:numId="27">
    <w:abstractNumId w:val="3"/>
  </w:num>
  <w:num w:numId="28">
    <w:abstractNumId w:val="4"/>
  </w:num>
  <w:num w:numId="29">
    <w:abstractNumId w:val="1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8"/>
    <w:rsid w:val="00035115"/>
    <w:rsid w:val="000633CC"/>
    <w:rsid w:val="00070E39"/>
    <w:rsid w:val="000716D7"/>
    <w:rsid w:val="000B2FC0"/>
    <w:rsid w:val="000B3339"/>
    <w:rsid w:val="000D72E8"/>
    <w:rsid w:val="00103131"/>
    <w:rsid w:val="00123332"/>
    <w:rsid w:val="00167537"/>
    <w:rsid w:val="00191F67"/>
    <w:rsid w:val="001B709B"/>
    <w:rsid w:val="002006FE"/>
    <w:rsid w:val="00224421"/>
    <w:rsid w:val="00274A37"/>
    <w:rsid w:val="002B61A3"/>
    <w:rsid w:val="002C01E1"/>
    <w:rsid w:val="002E36F2"/>
    <w:rsid w:val="00311424"/>
    <w:rsid w:val="0034674A"/>
    <w:rsid w:val="003914C3"/>
    <w:rsid w:val="003A695B"/>
    <w:rsid w:val="0044335A"/>
    <w:rsid w:val="0044362F"/>
    <w:rsid w:val="00473661"/>
    <w:rsid w:val="00474A6F"/>
    <w:rsid w:val="00480F35"/>
    <w:rsid w:val="004A181A"/>
    <w:rsid w:val="004A51C0"/>
    <w:rsid w:val="004C6043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C5C38"/>
    <w:rsid w:val="006F0169"/>
    <w:rsid w:val="00734318"/>
    <w:rsid w:val="00740764"/>
    <w:rsid w:val="007645AA"/>
    <w:rsid w:val="007C64F3"/>
    <w:rsid w:val="00812D08"/>
    <w:rsid w:val="00847E76"/>
    <w:rsid w:val="00854093"/>
    <w:rsid w:val="00890172"/>
    <w:rsid w:val="008A521B"/>
    <w:rsid w:val="008C6B90"/>
    <w:rsid w:val="008E08C8"/>
    <w:rsid w:val="008E294D"/>
    <w:rsid w:val="008E78FE"/>
    <w:rsid w:val="00926AC8"/>
    <w:rsid w:val="00941ECF"/>
    <w:rsid w:val="009738AE"/>
    <w:rsid w:val="009A7764"/>
    <w:rsid w:val="009C68E5"/>
    <w:rsid w:val="00A027D5"/>
    <w:rsid w:val="00A072C7"/>
    <w:rsid w:val="00A15F47"/>
    <w:rsid w:val="00A219E4"/>
    <w:rsid w:val="00A22BE5"/>
    <w:rsid w:val="00A517C3"/>
    <w:rsid w:val="00A7227B"/>
    <w:rsid w:val="00A76AF6"/>
    <w:rsid w:val="00A84FF9"/>
    <w:rsid w:val="00AA1689"/>
    <w:rsid w:val="00AD69E0"/>
    <w:rsid w:val="00AF1A51"/>
    <w:rsid w:val="00AF2232"/>
    <w:rsid w:val="00B34F8A"/>
    <w:rsid w:val="00B80482"/>
    <w:rsid w:val="00BB6FF7"/>
    <w:rsid w:val="00BE18CF"/>
    <w:rsid w:val="00BF6D73"/>
    <w:rsid w:val="00CA6DBC"/>
    <w:rsid w:val="00CC2528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43D52"/>
    <w:rsid w:val="00E47391"/>
    <w:rsid w:val="00E60DF7"/>
    <w:rsid w:val="00E832CC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45CC"/>
    <w:rsid w:val="00F64789"/>
    <w:rsid w:val="00F71029"/>
    <w:rsid w:val="00F904F1"/>
    <w:rsid w:val="00FA3204"/>
    <w:rsid w:val="00FC074E"/>
    <w:rsid w:val="00FE51CF"/>
    <w:rsid w:val="00FF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4576AF4D-81EA-43BF-B3F0-EF15C356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CBF6-8FF9-4522-90D9-909198D1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Nevoralová Jana, Ing.</cp:lastModifiedBy>
  <cp:revision>9</cp:revision>
  <cp:lastPrinted>2013-01-17T11:48:00Z</cp:lastPrinted>
  <dcterms:created xsi:type="dcterms:W3CDTF">2020-03-19T15:28:00Z</dcterms:created>
  <dcterms:modified xsi:type="dcterms:W3CDTF">2023-03-15T09:09:00Z</dcterms:modified>
</cp:coreProperties>
</file>