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BE2045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BE2045">
        <w:rPr>
          <w:rFonts w:ascii="Arial" w:hAnsi="Arial" w:cs="Arial"/>
          <w:b/>
          <w:sz w:val="28"/>
        </w:rPr>
        <w:t>Rozvoj veřejné infrastruktury cestovního ruchu – hvězdárna Třebíč</w:t>
      </w:r>
      <w:r w:rsidR="0008611B">
        <w:rPr>
          <w:rFonts w:ascii="Arial" w:hAnsi="Arial" w:cs="Arial"/>
          <w:b/>
          <w:sz w:val="28"/>
        </w:rPr>
        <w:t xml:space="preserve"> – stavební část</w:t>
      </w: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Nabídková cena celkem v Kč vč.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>
      <w:pPr>
        <w:jc w:val="center"/>
        <w:rPr>
          <w:rFonts w:ascii="Arial" w:hAnsi="Arial"/>
          <w:sz w:val="28"/>
        </w:rPr>
      </w:pPr>
      <w:bookmarkStart w:id="0" w:name="_GoBack"/>
      <w:bookmarkEnd w:id="0"/>
    </w:p>
    <w:p w:rsidR="00BE2045" w:rsidRPr="00BE2045" w:rsidRDefault="00BE2045" w:rsidP="00BE2045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BE2045">
        <w:rPr>
          <w:rFonts w:ascii="Arial" w:hAnsi="Arial" w:cs="Arial"/>
          <w:b/>
          <w:sz w:val="28"/>
        </w:rPr>
        <w:t>Rozvoj veřejné infrastruktury cestovního ruchu – hvězdárna Třebíč</w:t>
      </w:r>
      <w:r w:rsidR="0008611B">
        <w:rPr>
          <w:rFonts w:ascii="Arial" w:hAnsi="Arial" w:cs="Arial"/>
          <w:b/>
          <w:sz w:val="28"/>
        </w:rPr>
        <w:t xml:space="preserve"> – stavební část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 xml:space="preserve">Nabídková cena celkem v Kč vč.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731C53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2045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8DCB6-3353-4A58-BB96-C3D1E99B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22</TotalTime>
  <Pages>3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Nevoralová Jana, Ing.</cp:lastModifiedBy>
  <cp:revision>11</cp:revision>
  <cp:lastPrinted>2010-09-13T12:56:00Z</cp:lastPrinted>
  <dcterms:created xsi:type="dcterms:W3CDTF">2019-11-13T08:11:00Z</dcterms:created>
  <dcterms:modified xsi:type="dcterms:W3CDTF">2022-12-13T08:29:00Z</dcterms:modified>
</cp:coreProperties>
</file>