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2065B8" w:rsidRPr="005D2117" w:rsidRDefault="002065B8" w:rsidP="002065B8">
      <w:pPr>
        <w:jc w:val="center"/>
        <w:rPr>
          <w:rFonts w:cs="Arial"/>
          <w:b/>
          <w:sz w:val="28"/>
          <w:szCs w:val="22"/>
        </w:rPr>
      </w:pPr>
      <w:r w:rsidRPr="00E100CB">
        <w:rPr>
          <w:rFonts w:cs="Arial"/>
          <w:b/>
          <w:sz w:val="28"/>
          <w:szCs w:val="22"/>
        </w:rPr>
        <w:t>Stavební úpra</w:t>
      </w:r>
      <w:bookmarkStart w:id="0" w:name="_GoBack"/>
      <w:bookmarkEnd w:id="0"/>
      <w:r w:rsidRPr="00E100CB">
        <w:rPr>
          <w:rFonts w:cs="Arial"/>
          <w:b/>
          <w:sz w:val="28"/>
          <w:szCs w:val="22"/>
        </w:rPr>
        <w:t xml:space="preserve">vy </w:t>
      </w:r>
      <w:r>
        <w:rPr>
          <w:rFonts w:cs="Arial"/>
          <w:b/>
          <w:sz w:val="28"/>
          <w:szCs w:val="22"/>
        </w:rPr>
        <w:t>sportovní haly Leopolda Pokorného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2065B8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2065B8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2065B8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2065B8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2065B8" w:rsidP="00DB0A06">
    <w:pPr>
      <w:pStyle w:val="Zhlav"/>
    </w:pPr>
  </w:p>
  <w:p w:rsidR="00D61C98" w:rsidRPr="00DB0A06" w:rsidRDefault="002065B8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2065B8">
    <w:pPr>
      <w:pStyle w:val="Zhlav"/>
    </w:pPr>
  </w:p>
  <w:p w:rsidR="00DB0A06" w:rsidRDefault="002065B8" w:rsidP="00DB0A06">
    <w:pPr>
      <w:pStyle w:val="Zhlav"/>
    </w:pPr>
  </w:p>
  <w:p w:rsidR="00D61C98" w:rsidRDefault="002065B8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065B8"/>
    <w:rsid w:val="00253B64"/>
    <w:rsid w:val="002B1BEB"/>
    <w:rsid w:val="0034442E"/>
    <w:rsid w:val="004300E5"/>
    <w:rsid w:val="00451CBC"/>
    <w:rsid w:val="00460A36"/>
    <w:rsid w:val="004F0204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553D6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9F743-1C92-4845-A16B-707DBA4C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3</cp:revision>
  <dcterms:created xsi:type="dcterms:W3CDTF">2025-05-09T07:48:00Z</dcterms:created>
  <dcterms:modified xsi:type="dcterms:W3CDTF">2025-05-09T07:49:00Z</dcterms:modified>
</cp:coreProperties>
</file>